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BC52C" w14:textId="77777777" w:rsidR="00794732" w:rsidRPr="003506E5" w:rsidRDefault="00D61E15" w:rsidP="00EA0068">
      <w:pPr>
        <w:pStyle w:val="Title"/>
        <w:spacing w:before="600" w:line="276" w:lineRule="auto"/>
      </w:pPr>
      <w:r w:rsidRPr="003506E5">
        <w:t>Social Health Protection Health Insurance Programme, Pakistan</w:t>
      </w:r>
    </w:p>
    <w:p w14:paraId="08D7EB73" w14:textId="77777777" w:rsidR="00D61E15" w:rsidRPr="003506E5" w:rsidRDefault="00D61E15" w:rsidP="00EA0068">
      <w:pPr>
        <w:pStyle w:val="Secondarytitle"/>
        <w:spacing w:line="276" w:lineRule="auto"/>
      </w:pPr>
      <w:r w:rsidRPr="003506E5">
        <w:t>(Ref No: BMZ 2009 66 168)</w:t>
      </w:r>
    </w:p>
    <w:p w14:paraId="5E7052AC" w14:textId="09C558B7" w:rsidR="00A14BF7" w:rsidRPr="003506E5" w:rsidRDefault="00D61E15" w:rsidP="001D1FD3">
      <w:pPr>
        <w:pStyle w:val="Secondarytitle"/>
        <w:spacing w:line="276" w:lineRule="auto"/>
      </w:pPr>
      <w:r w:rsidRPr="003506E5">
        <w:t>Progress Report (</w:t>
      </w:r>
      <w:r w:rsidR="00B83446" w:rsidRPr="003506E5">
        <w:t>Jul</w:t>
      </w:r>
      <w:r w:rsidR="001D1FD3" w:rsidRPr="003506E5">
        <w:t xml:space="preserve"> </w:t>
      </w:r>
      <w:r w:rsidR="00C27686" w:rsidRPr="003506E5">
        <w:t>t</w:t>
      </w:r>
      <w:r w:rsidRPr="003506E5">
        <w:t xml:space="preserve">o </w:t>
      </w:r>
      <w:r w:rsidR="00B83446" w:rsidRPr="003506E5">
        <w:t>Dec</w:t>
      </w:r>
      <w:r w:rsidR="001D7417" w:rsidRPr="003506E5">
        <w:t xml:space="preserve"> 20</w:t>
      </w:r>
      <w:r w:rsidR="001D1FD3" w:rsidRPr="003506E5">
        <w:t>20</w:t>
      </w:r>
      <w:r w:rsidRPr="003506E5">
        <w:t>)</w:t>
      </w:r>
    </w:p>
    <w:p w14:paraId="16207DA8" w14:textId="12F56197" w:rsidR="006B6B98" w:rsidRPr="003506E5" w:rsidRDefault="006B6B98" w:rsidP="001D1FD3">
      <w:pPr>
        <w:pStyle w:val="Secondarytitle"/>
        <w:spacing w:line="276" w:lineRule="auto"/>
      </w:pPr>
    </w:p>
    <w:p w14:paraId="77816274" w14:textId="77777777" w:rsidR="00C27686" w:rsidRPr="003506E5" w:rsidRDefault="00C27686" w:rsidP="00EA0068">
      <w:pPr>
        <w:pStyle w:val="Author"/>
        <w:spacing w:line="276" w:lineRule="auto"/>
      </w:pPr>
    </w:p>
    <w:p w14:paraId="39AB06D5" w14:textId="316B6861" w:rsidR="00C27686" w:rsidRPr="003506E5" w:rsidRDefault="005D4AFE" w:rsidP="00EA0068">
      <w:pPr>
        <w:pStyle w:val="Author"/>
        <w:spacing w:line="276" w:lineRule="auto"/>
        <w:sectPr w:rsidR="00C27686" w:rsidRPr="003506E5" w:rsidSect="00130945">
          <w:headerReference w:type="default" r:id="rId8"/>
          <w:footerReference w:type="even" r:id="rId9"/>
          <w:headerReference w:type="first" r:id="rId10"/>
          <w:footerReference w:type="first" r:id="rId11"/>
          <w:pgSz w:w="11900" w:h="16840"/>
          <w:pgMar w:top="1440" w:right="1440" w:bottom="1440" w:left="1440" w:header="703" w:footer="703" w:gutter="0"/>
          <w:cols w:space="708"/>
          <w:titlePg/>
          <w:docGrid w:linePitch="360"/>
        </w:sectPr>
      </w:pPr>
      <w:r w:rsidRPr="003506E5">
        <w:t>16</w:t>
      </w:r>
      <w:r w:rsidR="00C27686" w:rsidRPr="003506E5">
        <w:rPr>
          <w:vertAlign w:val="superscript"/>
        </w:rPr>
        <w:t>th</w:t>
      </w:r>
      <w:r w:rsidR="00C27686" w:rsidRPr="003506E5">
        <w:t xml:space="preserve"> </w:t>
      </w:r>
      <w:r w:rsidR="00B83446" w:rsidRPr="003506E5">
        <w:t>January</w:t>
      </w:r>
      <w:r w:rsidR="00C27686" w:rsidRPr="003506E5">
        <w:t xml:space="preserve"> 202</w:t>
      </w:r>
      <w:r w:rsidR="00B83446" w:rsidRPr="003506E5">
        <w:t>1</w:t>
      </w:r>
    </w:p>
    <w:p w14:paraId="7131FB9B" w14:textId="0E2B9C02" w:rsidR="007B121D" w:rsidRPr="003506E5" w:rsidRDefault="007B121D" w:rsidP="00EA0068">
      <w:pPr>
        <w:pStyle w:val="Prelim"/>
        <w:spacing w:line="276" w:lineRule="auto"/>
      </w:pPr>
      <w:r w:rsidRPr="003506E5">
        <w:lastRenderedPageBreak/>
        <w:t>About Oxford Policy Management</w:t>
      </w:r>
    </w:p>
    <w:p w14:paraId="258E6E88" w14:textId="77777777" w:rsidR="007B121D" w:rsidRPr="003506E5" w:rsidRDefault="007B121D" w:rsidP="00EA0068">
      <w:pPr>
        <w:pStyle w:val="BodyText"/>
      </w:pPr>
      <w:r w:rsidRPr="003506E5">
        <w:t>Oxford Policy Management is committed to helping low- and middle-income countries achieve growth and reduce poverty and disadvantage through public policy reform.</w:t>
      </w:r>
    </w:p>
    <w:p w14:paraId="64332FBF" w14:textId="77777777" w:rsidR="007B121D" w:rsidRPr="003506E5" w:rsidRDefault="007B121D" w:rsidP="00EA0068">
      <w:pPr>
        <w:pStyle w:val="BodyText"/>
      </w:pPr>
      <w:r w:rsidRPr="003506E5">
        <w:t>We seek to bring about lasting positive change using analytical and practical policy expertise. Through our global network of offices, we work in partnership with national decision makers to research, design, implement, and evaluate impactful public policy.</w:t>
      </w:r>
    </w:p>
    <w:p w14:paraId="1ABB9226" w14:textId="77777777" w:rsidR="00961BF1" w:rsidRPr="003506E5" w:rsidRDefault="007B121D" w:rsidP="00EA0068">
      <w:pPr>
        <w:pStyle w:val="BodyText"/>
      </w:pPr>
      <w:r w:rsidRPr="003506E5">
        <w:t>We work in all areas of social and economic policy and governance, including health, finance, education, climate change, and public sector management. We draw on our local and international sector experts to provide the very best evidence-based support.</w:t>
      </w:r>
    </w:p>
    <w:p w14:paraId="28E27487" w14:textId="3B31BADB" w:rsidR="00E94C28" w:rsidRPr="003506E5" w:rsidRDefault="00E94C28" w:rsidP="00EA0068">
      <w:pPr>
        <w:pStyle w:val="ToCTitle"/>
        <w:spacing w:line="276" w:lineRule="auto"/>
        <w:sectPr w:rsidR="00E94C28" w:rsidRPr="003506E5" w:rsidSect="00130945">
          <w:headerReference w:type="default" r:id="rId12"/>
          <w:footerReference w:type="default" r:id="rId13"/>
          <w:headerReference w:type="first" r:id="rId14"/>
          <w:footerReference w:type="first" r:id="rId15"/>
          <w:pgSz w:w="11900" w:h="16840"/>
          <w:pgMar w:top="1440" w:right="1440" w:bottom="1440" w:left="1440" w:header="709" w:footer="709" w:gutter="0"/>
          <w:pgNumType w:start="3"/>
          <w:cols w:space="708"/>
          <w:docGrid w:linePitch="360"/>
        </w:sectPr>
      </w:pPr>
    </w:p>
    <w:p w14:paraId="129D25C7" w14:textId="77777777" w:rsidR="00846A29" w:rsidRPr="003506E5" w:rsidRDefault="00DF7F2D" w:rsidP="00846A29">
      <w:pPr>
        <w:pStyle w:val="Prelim"/>
      </w:pPr>
      <w:bookmarkStart w:id="0" w:name="_Toc463684946"/>
      <w:bookmarkStart w:id="1" w:name="_Toc1124100"/>
      <w:bookmarkStart w:id="2" w:name="_Toc23672032"/>
      <w:r w:rsidRPr="003506E5">
        <w:lastRenderedPageBreak/>
        <w:t>Table of Contents</w:t>
      </w:r>
    </w:p>
    <w:p w14:paraId="31F69263" w14:textId="7BC952E2" w:rsidR="00924FB5" w:rsidRPr="003506E5" w:rsidRDefault="00B76041">
      <w:pPr>
        <w:pStyle w:val="TOC1"/>
        <w:tabs>
          <w:tab w:val="right" w:leader="dot" w:pos="9010"/>
        </w:tabs>
        <w:rPr>
          <w:rFonts w:asciiTheme="minorHAnsi" w:eastAsiaTheme="minorEastAsia" w:hAnsiTheme="minorHAnsi" w:cstheme="minorBidi"/>
          <w:b w:val="0"/>
          <w:bCs w:val="0"/>
          <w:caps w:val="0"/>
          <w:noProof/>
          <w:sz w:val="22"/>
          <w:szCs w:val="22"/>
          <w:lang w:eastAsia="en-US"/>
        </w:rPr>
      </w:pPr>
      <w:r w:rsidRPr="003506E5">
        <w:fldChar w:fldCharType="begin"/>
      </w:r>
      <w:r w:rsidR="00DF7F2D" w:rsidRPr="003506E5">
        <w:instrText xml:space="preserve"> TOC \o "1-2" \h \z \t "Heading 3,3,Annex heading 2,3,Heading 3 NO NUM,3,Box caption,3,OPM Heading3,3,CV_Title,3,HeadingOPM 3,3,Style Box caption,3" </w:instrText>
      </w:r>
      <w:r w:rsidRPr="003506E5">
        <w:fldChar w:fldCharType="separate"/>
      </w:r>
      <w:hyperlink w:anchor="_Toc57215260" w:history="1">
        <w:r w:rsidR="00924FB5" w:rsidRPr="003506E5">
          <w:rPr>
            <w:rStyle w:val="Hyperlink"/>
            <w:noProof/>
          </w:rPr>
          <w:t>Executive Summary</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_Toc57215260 \h </w:instrText>
        </w:r>
        <w:r w:rsidR="00924FB5" w:rsidRPr="003506E5">
          <w:rPr>
            <w:noProof/>
            <w:webHidden/>
          </w:rPr>
        </w:r>
        <w:r w:rsidR="00924FB5" w:rsidRPr="003506E5">
          <w:rPr>
            <w:noProof/>
            <w:webHidden/>
          </w:rPr>
          <w:fldChar w:fldCharType="separate"/>
        </w:r>
        <w:r w:rsidR="00924FB5" w:rsidRPr="003506E5">
          <w:rPr>
            <w:noProof/>
            <w:webHidden/>
          </w:rPr>
          <w:t>8</w:t>
        </w:r>
        <w:r w:rsidR="00924FB5" w:rsidRPr="003506E5">
          <w:rPr>
            <w:noProof/>
            <w:webHidden/>
          </w:rPr>
          <w:fldChar w:fldCharType="end"/>
        </w:r>
      </w:hyperlink>
    </w:p>
    <w:p w14:paraId="5B5AB515" w14:textId="14B0E0FC" w:rsidR="00924FB5" w:rsidRPr="003506E5" w:rsidRDefault="007049C3">
      <w:pPr>
        <w:pStyle w:val="TOC1"/>
        <w:tabs>
          <w:tab w:val="left" w:pos="440"/>
          <w:tab w:val="right" w:leader="dot" w:pos="9010"/>
        </w:tabs>
        <w:rPr>
          <w:rFonts w:asciiTheme="minorHAnsi" w:eastAsiaTheme="minorEastAsia" w:hAnsiTheme="minorHAnsi" w:cstheme="minorBidi"/>
          <w:b w:val="0"/>
          <w:bCs w:val="0"/>
          <w:caps w:val="0"/>
          <w:noProof/>
          <w:sz w:val="22"/>
          <w:szCs w:val="22"/>
          <w:lang w:eastAsia="en-US"/>
        </w:rPr>
      </w:pPr>
      <w:hyperlink w:anchor="_Toc57215261" w:history="1">
        <w:r w:rsidR="00924FB5" w:rsidRPr="003506E5">
          <w:rPr>
            <w:rStyle w:val="Hyperlink"/>
            <w:noProof/>
          </w:rPr>
          <w:t>1</w:t>
        </w:r>
        <w:r w:rsidR="00924FB5" w:rsidRPr="003506E5">
          <w:rPr>
            <w:rFonts w:asciiTheme="minorHAnsi" w:eastAsiaTheme="minorEastAsia" w:hAnsiTheme="minorHAnsi" w:cstheme="minorBidi"/>
            <w:b w:val="0"/>
            <w:bCs w:val="0"/>
            <w:caps w:val="0"/>
            <w:noProof/>
            <w:sz w:val="22"/>
            <w:szCs w:val="22"/>
            <w:lang w:eastAsia="en-US"/>
          </w:rPr>
          <w:tab/>
        </w:r>
        <w:r w:rsidR="00924FB5" w:rsidRPr="003506E5">
          <w:rPr>
            <w:rStyle w:val="Hyperlink"/>
            <w:noProof/>
          </w:rPr>
          <w:t>Context</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_Toc57215261 \h </w:instrText>
        </w:r>
        <w:r w:rsidR="00924FB5" w:rsidRPr="003506E5">
          <w:rPr>
            <w:noProof/>
            <w:webHidden/>
          </w:rPr>
        </w:r>
        <w:r w:rsidR="00924FB5" w:rsidRPr="003506E5">
          <w:rPr>
            <w:noProof/>
            <w:webHidden/>
          </w:rPr>
          <w:fldChar w:fldCharType="separate"/>
        </w:r>
        <w:r w:rsidR="00924FB5" w:rsidRPr="003506E5">
          <w:rPr>
            <w:noProof/>
            <w:webHidden/>
          </w:rPr>
          <w:t>11</w:t>
        </w:r>
        <w:r w:rsidR="00924FB5" w:rsidRPr="003506E5">
          <w:rPr>
            <w:noProof/>
            <w:webHidden/>
          </w:rPr>
          <w:fldChar w:fldCharType="end"/>
        </w:r>
      </w:hyperlink>
    </w:p>
    <w:p w14:paraId="41E1CDA8" w14:textId="40647906" w:rsidR="00924FB5" w:rsidRPr="003506E5" w:rsidRDefault="007049C3">
      <w:pPr>
        <w:pStyle w:val="TOC2"/>
        <w:tabs>
          <w:tab w:val="left" w:pos="660"/>
          <w:tab w:val="right" w:leader="dot" w:pos="9010"/>
        </w:tabs>
        <w:rPr>
          <w:rFonts w:eastAsiaTheme="minorEastAsia" w:cstheme="minorBidi"/>
          <w:b w:val="0"/>
          <w:bCs w:val="0"/>
          <w:noProof/>
          <w:sz w:val="22"/>
          <w:szCs w:val="22"/>
          <w:lang w:eastAsia="en-US"/>
        </w:rPr>
      </w:pPr>
      <w:hyperlink w:anchor="_Toc57215262" w:history="1">
        <w:r w:rsidR="00924FB5" w:rsidRPr="003506E5">
          <w:rPr>
            <w:rStyle w:val="Hyperlink"/>
            <w:noProof/>
          </w:rPr>
          <w:t>1.1</w:t>
        </w:r>
        <w:r w:rsidR="00924FB5" w:rsidRPr="003506E5">
          <w:rPr>
            <w:rFonts w:eastAsiaTheme="minorEastAsia" w:cstheme="minorBidi"/>
            <w:b w:val="0"/>
            <w:bCs w:val="0"/>
            <w:noProof/>
            <w:sz w:val="22"/>
            <w:szCs w:val="22"/>
            <w:lang w:eastAsia="en-US"/>
          </w:rPr>
          <w:tab/>
        </w:r>
        <w:r w:rsidR="00924FB5" w:rsidRPr="003506E5">
          <w:rPr>
            <w:rStyle w:val="Hyperlink"/>
            <w:noProof/>
          </w:rPr>
          <w:t>Impact of COVID-19 in the Country</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_Toc57215262 \h </w:instrText>
        </w:r>
        <w:r w:rsidR="00924FB5" w:rsidRPr="003506E5">
          <w:rPr>
            <w:noProof/>
            <w:webHidden/>
          </w:rPr>
        </w:r>
        <w:r w:rsidR="00924FB5" w:rsidRPr="003506E5">
          <w:rPr>
            <w:noProof/>
            <w:webHidden/>
          </w:rPr>
          <w:fldChar w:fldCharType="separate"/>
        </w:r>
        <w:r w:rsidR="00924FB5" w:rsidRPr="003506E5">
          <w:rPr>
            <w:noProof/>
            <w:webHidden/>
          </w:rPr>
          <w:t>11</w:t>
        </w:r>
        <w:r w:rsidR="00924FB5" w:rsidRPr="003506E5">
          <w:rPr>
            <w:noProof/>
            <w:webHidden/>
          </w:rPr>
          <w:fldChar w:fldCharType="end"/>
        </w:r>
      </w:hyperlink>
    </w:p>
    <w:p w14:paraId="0E9B7682" w14:textId="5ADE7FFC" w:rsidR="00924FB5" w:rsidRPr="003506E5" w:rsidRDefault="007049C3">
      <w:pPr>
        <w:pStyle w:val="TOC3"/>
        <w:tabs>
          <w:tab w:val="left" w:pos="880"/>
          <w:tab w:val="right" w:leader="dot" w:pos="9010"/>
        </w:tabs>
        <w:rPr>
          <w:rFonts w:eastAsiaTheme="minorEastAsia" w:cstheme="minorBidi"/>
          <w:noProof/>
          <w:sz w:val="22"/>
          <w:szCs w:val="22"/>
          <w:lang w:eastAsia="en-US"/>
        </w:rPr>
      </w:pPr>
      <w:hyperlink w:anchor="_Toc57215263" w:history="1">
        <w:r w:rsidR="00924FB5" w:rsidRPr="003506E5">
          <w:rPr>
            <w:rStyle w:val="Hyperlink"/>
            <w:noProof/>
          </w:rPr>
          <w:t>1.1.1</w:t>
        </w:r>
        <w:r w:rsidR="00924FB5" w:rsidRPr="003506E5">
          <w:rPr>
            <w:rFonts w:eastAsiaTheme="minorEastAsia" w:cstheme="minorBidi"/>
            <w:noProof/>
            <w:sz w:val="22"/>
            <w:szCs w:val="22"/>
            <w:lang w:eastAsia="en-US"/>
          </w:rPr>
          <w:tab/>
        </w:r>
        <w:r w:rsidR="00924FB5" w:rsidRPr="003506E5">
          <w:rPr>
            <w:rStyle w:val="Hyperlink"/>
            <w:noProof/>
          </w:rPr>
          <w:t>The COVID-19 Pakistan Preparedness and Response Plan (PPRP)</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_Toc57215263 \h </w:instrText>
        </w:r>
        <w:r w:rsidR="00924FB5" w:rsidRPr="003506E5">
          <w:rPr>
            <w:noProof/>
            <w:webHidden/>
          </w:rPr>
        </w:r>
        <w:r w:rsidR="00924FB5" w:rsidRPr="003506E5">
          <w:rPr>
            <w:noProof/>
            <w:webHidden/>
          </w:rPr>
          <w:fldChar w:fldCharType="separate"/>
        </w:r>
        <w:r w:rsidR="00924FB5" w:rsidRPr="003506E5">
          <w:rPr>
            <w:noProof/>
            <w:webHidden/>
          </w:rPr>
          <w:t>13</w:t>
        </w:r>
        <w:r w:rsidR="00924FB5" w:rsidRPr="003506E5">
          <w:rPr>
            <w:noProof/>
            <w:webHidden/>
          </w:rPr>
          <w:fldChar w:fldCharType="end"/>
        </w:r>
      </w:hyperlink>
    </w:p>
    <w:p w14:paraId="7D1E0FD9" w14:textId="05D8E4BF" w:rsidR="00924FB5" w:rsidRPr="003506E5" w:rsidRDefault="007049C3">
      <w:pPr>
        <w:pStyle w:val="TOC3"/>
        <w:tabs>
          <w:tab w:val="left" w:pos="880"/>
          <w:tab w:val="right" w:leader="dot" w:pos="9010"/>
        </w:tabs>
        <w:rPr>
          <w:rFonts w:eastAsiaTheme="minorEastAsia" w:cstheme="minorBidi"/>
          <w:noProof/>
          <w:sz w:val="22"/>
          <w:szCs w:val="22"/>
          <w:lang w:eastAsia="en-US"/>
        </w:rPr>
      </w:pPr>
      <w:hyperlink w:anchor="_Toc57215264" w:history="1">
        <w:r w:rsidR="00924FB5" w:rsidRPr="003506E5">
          <w:rPr>
            <w:rStyle w:val="Hyperlink"/>
            <w:noProof/>
          </w:rPr>
          <w:t>1.1.2</w:t>
        </w:r>
        <w:r w:rsidR="00924FB5" w:rsidRPr="003506E5">
          <w:rPr>
            <w:rFonts w:eastAsiaTheme="minorEastAsia" w:cstheme="minorBidi"/>
            <w:noProof/>
            <w:sz w:val="22"/>
            <w:szCs w:val="22"/>
            <w:lang w:eastAsia="en-US"/>
          </w:rPr>
          <w:tab/>
        </w:r>
        <w:r w:rsidR="00924FB5" w:rsidRPr="003506E5">
          <w:rPr>
            <w:rStyle w:val="Hyperlink"/>
            <w:noProof/>
          </w:rPr>
          <w:t>Economic impact of COVID-19 and the relief package</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_Toc57215264 \h </w:instrText>
        </w:r>
        <w:r w:rsidR="00924FB5" w:rsidRPr="003506E5">
          <w:rPr>
            <w:noProof/>
            <w:webHidden/>
          </w:rPr>
        </w:r>
        <w:r w:rsidR="00924FB5" w:rsidRPr="003506E5">
          <w:rPr>
            <w:noProof/>
            <w:webHidden/>
          </w:rPr>
          <w:fldChar w:fldCharType="separate"/>
        </w:r>
        <w:r w:rsidR="00924FB5" w:rsidRPr="003506E5">
          <w:rPr>
            <w:noProof/>
            <w:webHidden/>
          </w:rPr>
          <w:t>13</w:t>
        </w:r>
        <w:r w:rsidR="00924FB5" w:rsidRPr="003506E5">
          <w:rPr>
            <w:noProof/>
            <w:webHidden/>
          </w:rPr>
          <w:fldChar w:fldCharType="end"/>
        </w:r>
      </w:hyperlink>
    </w:p>
    <w:p w14:paraId="0552E1A2" w14:textId="6424DB6E" w:rsidR="00924FB5" w:rsidRPr="003506E5" w:rsidRDefault="007049C3">
      <w:pPr>
        <w:pStyle w:val="TOC2"/>
        <w:tabs>
          <w:tab w:val="left" w:pos="660"/>
          <w:tab w:val="right" w:leader="dot" w:pos="9010"/>
        </w:tabs>
        <w:rPr>
          <w:rFonts w:eastAsiaTheme="minorEastAsia" w:cstheme="minorBidi"/>
          <w:b w:val="0"/>
          <w:bCs w:val="0"/>
          <w:noProof/>
          <w:sz w:val="22"/>
          <w:szCs w:val="22"/>
          <w:lang w:eastAsia="en-US"/>
        </w:rPr>
      </w:pPr>
      <w:hyperlink w:anchor="_Toc57215265" w:history="1">
        <w:r w:rsidR="00924FB5" w:rsidRPr="003506E5">
          <w:rPr>
            <w:rStyle w:val="Hyperlink"/>
            <w:noProof/>
          </w:rPr>
          <w:t>1.2</w:t>
        </w:r>
        <w:r w:rsidR="00924FB5" w:rsidRPr="003506E5">
          <w:rPr>
            <w:rFonts w:eastAsiaTheme="minorEastAsia" w:cstheme="minorBidi"/>
            <w:b w:val="0"/>
            <w:bCs w:val="0"/>
            <w:noProof/>
            <w:sz w:val="22"/>
            <w:szCs w:val="22"/>
            <w:lang w:eastAsia="en-US"/>
          </w:rPr>
          <w:tab/>
        </w:r>
        <w:r w:rsidR="00924FB5" w:rsidRPr="003506E5">
          <w:rPr>
            <w:rStyle w:val="Hyperlink"/>
            <w:noProof/>
          </w:rPr>
          <w:t>International Partners Funding Agencies and Donors</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_Toc57215265 \h </w:instrText>
        </w:r>
        <w:r w:rsidR="00924FB5" w:rsidRPr="003506E5">
          <w:rPr>
            <w:noProof/>
            <w:webHidden/>
          </w:rPr>
        </w:r>
        <w:r w:rsidR="00924FB5" w:rsidRPr="003506E5">
          <w:rPr>
            <w:noProof/>
            <w:webHidden/>
          </w:rPr>
          <w:fldChar w:fldCharType="separate"/>
        </w:r>
        <w:r w:rsidR="00924FB5" w:rsidRPr="003506E5">
          <w:rPr>
            <w:noProof/>
            <w:webHidden/>
          </w:rPr>
          <w:t>13</w:t>
        </w:r>
        <w:r w:rsidR="00924FB5" w:rsidRPr="003506E5">
          <w:rPr>
            <w:noProof/>
            <w:webHidden/>
          </w:rPr>
          <w:fldChar w:fldCharType="end"/>
        </w:r>
      </w:hyperlink>
    </w:p>
    <w:p w14:paraId="57A6C99C" w14:textId="7B547AEB" w:rsidR="00924FB5" w:rsidRPr="003506E5" w:rsidRDefault="007049C3">
      <w:pPr>
        <w:pStyle w:val="TOC1"/>
        <w:tabs>
          <w:tab w:val="left" w:pos="440"/>
          <w:tab w:val="right" w:leader="dot" w:pos="9010"/>
        </w:tabs>
        <w:rPr>
          <w:rFonts w:asciiTheme="minorHAnsi" w:eastAsiaTheme="minorEastAsia" w:hAnsiTheme="minorHAnsi" w:cstheme="minorBidi"/>
          <w:b w:val="0"/>
          <w:bCs w:val="0"/>
          <w:caps w:val="0"/>
          <w:noProof/>
          <w:sz w:val="22"/>
          <w:szCs w:val="22"/>
          <w:lang w:eastAsia="en-US"/>
        </w:rPr>
      </w:pPr>
      <w:hyperlink w:anchor="_Toc57215266" w:history="1">
        <w:r w:rsidR="00924FB5" w:rsidRPr="003506E5">
          <w:rPr>
            <w:rStyle w:val="Hyperlink"/>
            <w:noProof/>
          </w:rPr>
          <w:t>2</w:t>
        </w:r>
        <w:r w:rsidR="00924FB5" w:rsidRPr="003506E5">
          <w:rPr>
            <w:rFonts w:asciiTheme="minorHAnsi" w:eastAsiaTheme="minorEastAsia" w:hAnsiTheme="minorHAnsi" w:cstheme="minorBidi"/>
            <w:b w:val="0"/>
            <w:bCs w:val="0"/>
            <w:caps w:val="0"/>
            <w:noProof/>
            <w:sz w:val="22"/>
            <w:szCs w:val="22"/>
            <w:lang w:eastAsia="en-US"/>
          </w:rPr>
          <w:tab/>
        </w:r>
        <w:r w:rsidR="00924FB5" w:rsidRPr="003506E5">
          <w:rPr>
            <w:rStyle w:val="Hyperlink"/>
            <w:noProof/>
          </w:rPr>
          <w:t>Financial Report</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_Toc57215266 \h </w:instrText>
        </w:r>
        <w:r w:rsidR="00924FB5" w:rsidRPr="003506E5">
          <w:rPr>
            <w:noProof/>
            <w:webHidden/>
          </w:rPr>
        </w:r>
        <w:r w:rsidR="00924FB5" w:rsidRPr="003506E5">
          <w:rPr>
            <w:noProof/>
            <w:webHidden/>
          </w:rPr>
          <w:fldChar w:fldCharType="separate"/>
        </w:r>
        <w:r w:rsidR="00924FB5" w:rsidRPr="003506E5">
          <w:rPr>
            <w:noProof/>
            <w:webHidden/>
          </w:rPr>
          <w:t>15</w:t>
        </w:r>
        <w:r w:rsidR="00924FB5" w:rsidRPr="003506E5">
          <w:rPr>
            <w:noProof/>
            <w:webHidden/>
          </w:rPr>
          <w:fldChar w:fldCharType="end"/>
        </w:r>
      </w:hyperlink>
    </w:p>
    <w:p w14:paraId="349143A2" w14:textId="2B358A35" w:rsidR="00924FB5" w:rsidRPr="003506E5" w:rsidRDefault="007049C3">
      <w:pPr>
        <w:pStyle w:val="TOC2"/>
        <w:tabs>
          <w:tab w:val="left" w:pos="660"/>
          <w:tab w:val="right" w:leader="dot" w:pos="9010"/>
        </w:tabs>
        <w:rPr>
          <w:rFonts w:eastAsiaTheme="minorEastAsia" w:cstheme="minorBidi"/>
          <w:b w:val="0"/>
          <w:bCs w:val="0"/>
          <w:noProof/>
          <w:sz w:val="22"/>
          <w:szCs w:val="22"/>
          <w:lang w:eastAsia="en-US"/>
        </w:rPr>
      </w:pPr>
      <w:hyperlink w:anchor="_Toc57215267" w:history="1">
        <w:r w:rsidR="00924FB5" w:rsidRPr="003506E5">
          <w:rPr>
            <w:rStyle w:val="Hyperlink"/>
            <w:noProof/>
          </w:rPr>
          <w:t>2.1</w:t>
        </w:r>
        <w:r w:rsidR="00924FB5" w:rsidRPr="003506E5">
          <w:rPr>
            <w:rFonts w:eastAsiaTheme="minorEastAsia" w:cstheme="minorBidi"/>
            <w:b w:val="0"/>
            <w:bCs w:val="0"/>
            <w:noProof/>
            <w:sz w:val="22"/>
            <w:szCs w:val="22"/>
            <w:lang w:eastAsia="en-US"/>
          </w:rPr>
          <w:tab/>
        </w:r>
        <w:r w:rsidR="00924FB5" w:rsidRPr="003506E5">
          <w:rPr>
            <w:rStyle w:val="Hyperlink"/>
            <w:noProof/>
          </w:rPr>
          <w:t>Organisational Development (OD) Funds</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_Toc57215267 \h </w:instrText>
        </w:r>
        <w:r w:rsidR="00924FB5" w:rsidRPr="003506E5">
          <w:rPr>
            <w:noProof/>
            <w:webHidden/>
          </w:rPr>
        </w:r>
        <w:r w:rsidR="00924FB5" w:rsidRPr="003506E5">
          <w:rPr>
            <w:noProof/>
            <w:webHidden/>
          </w:rPr>
          <w:fldChar w:fldCharType="separate"/>
        </w:r>
        <w:r w:rsidR="00924FB5" w:rsidRPr="003506E5">
          <w:rPr>
            <w:noProof/>
            <w:webHidden/>
          </w:rPr>
          <w:t>16</w:t>
        </w:r>
        <w:r w:rsidR="00924FB5" w:rsidRPr="003506E5">
          <w:rPr>
            <w:noProof/>
            <w:webHidden/>
          </w:rPr>
          <w:fldChar w:fldCharType="end"/>
        </w:r>
      </w:hyperlink>
    </w:p>
    <w:p w14:paraId="43DC6F26" w14:textId="0C10AEF8" w:rsidR="00924FB5" w:rsidRPr="003506E5" w:rsidRDefault="007049C3">
      <w:pPr>
        <w:pStyle w:val="TOC3"/>
        <w:tabs>
          <w:tab w:val="left" w:pos="880"/>
          <w:tab w:val="right" w:leader="dot" w:pos="9010"/>
        </w:tabs>
        <w:rPr>
          <w:rFonts w:eastAsiaTheme="minorEastAsia" w:cstheme="minorBidi"/>
          <w:noProof/>
          <w:sz w:val="22"/>
          <w:szCs w:val="22"/>
          <w:lang w:eastAsia="en-US"/>
        </w:rPr>
      </w:pPr>
      <w:hyperlink w:anchor="_Toc57215268" w:history="1">
        <w:r w:rsidR="00924FB5" w:rsidRPr="003506E5">
          <w:rPr>
            <w:rStyle w:val="Hyperlink"/>
            <w:noProof/>
          </w:rPr>
          <w:t>2.1.1</w:t>
        </w:r>
        <w:r w:rsidR="00924FB5" w:rsidRPr="003506E5">
          <w:rPr>
            <w:rFonts w:eastAsiaTheme="minorEastAsia" w:cstheme="minorBidi"/>
            <w:noProof/>
            <w:sz w:val="22"/>
            <w:szCs w:val="22"/>
            <w:lang w:eastAsia="en-US"/>
          </w:rPr>
          <w:tab/>
        </w:r>
        <w:r w:rsidR="00924FB5" w:rsidRPr="003506E5">
          <w:rPr>
            <w:rStyle w:val="Hyperlink"/>
            <w:noProof/>
          </w:rPr>
          <w:t>Gilgit Baltistan</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_Toc57215268 \h </w:instrText>
        </w:r>
        <w:r w:rsidR="00924FB5" w:rsidRPr="003506E5">
          <w:rPr>
            <w:noProof/>
            <w:webHidden/>
          </w:rPr>
        </w:r>
        <w:r w:rsidR="00924FB5" w:rsidRPr="003506E5">
          <w:rPr>
            <w:noProof/>
            <w:webHidden/>
          </w:rPr>
          <w:fldChar w:fldCharType="separate"/>
        </w:r>
        <w:r w:rsidR="00924FB5" w:rsidRPr="003506E5">
          <w:rPr>
            <w:noProof/>
            <w:webHidden/>
          </w:rPr>
          <w:t>16</w:t>
        </w:r>
        <w:r w:rsidR="00924FB5" w:rsidRPr="003506E5">
          <w:rPr>
            <w:noProof/>
            <w:webHidden/>
          </w:rPr>
          <w:fldChar w:fldCharType="end"/>
        </w:r>
      </w:hyperlink>
    </w:p>
    <w:p w14:paraId="7AA0E1B6" w14:textId="324BCEE8" w:rsidR="00924FB5" w:rsidRPr="003506E5" w:rsidRDefault="007049C3">
      <w:pPr>
        <w:pStyle w:val="TOC1"/>
        <w:tabs>
          <w:tab w:val="left" w:pos="440"/>
          <w:tab w:val="right" w:leader="dot" w:pos="9010"/>
        </w:tabs>
        <w:rPr>
          <w:rFonts w:asciiTheme="minorHAnsi" w:eastAsiaTheme="minorEastAsia" w:hAnsiTheme="minorHAnsi" w:cstheme="minorBidi"/>
          <w:b w:val="0"/>
          <w:bCs w:val="0"/>
          <w:caps w:val="0"/>
          <w:noProof/>
          <w:sz w:val="22"/>
          <w:szCs w:val="22"/>
          <w:lang w:eastAsia="en-US"/>
        </w:rPr>
      </w:pPr>
      <w:hyperlink w:anchor="_Toc57215269" w:history="1">
        <w:r w:rsidR="00924FB5" w:rsidRPr="003506E5">
          <w:rPr>
            <w:rStyle w:val="Hyperlink"/>
            <w:noProof/>
          </w:rPr>
          <w:t>3</w:t>
        </w:r>
        <w:r w:rsidR="00924FB5" w:rsidRPr="003506E5">
          <w:rPr>
            <w:rFonts w:asciiTheme="minorHAnsi" w:eastAsiaTheme="minorEastAsia" w:hAnsiTheme="minorHAnsi" w:cstheme="minorBidi"/>
            <w:b w:val="0"/>
            <w:bCs w:val="0"/>
            <w:caps w:val="0"/>
            <w:noProof/>
            <w:sz w:val="22"/>
            <w:szCs w:val="22"/>
            <w:lang w:eastAsia="en-US"/>
          </w:rPr>
          <w:tab/>
        </w:r>
        <w:r w:rsidR="00924FB5" w:rsidRPr="003506E5">
          <w:rPr>
            <w:rStyle w:val="Hyperlink"/>
            <w:noProof/>
          </w:rPr>
          <w:t>Developments in Health Insurance Programmes in Pakistan, KP and GB</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_Toc57215269 \h </w:instrText>
        </w:r>
        <w:r w:rsidR="00924FB5" w:rsidRPr="003506E5">
          <w:rPr>
            <w:noProof/>
            <w:webHidden/>
          </w:rPr>
        </w:r>
        <w:r w:rsidR="00924FB5" w:rsidRPr="003506E5">
          <w:rPr>
            <w:noProof/>
            <w:webHidden/>
          </w:rPr>
          <w:fldChar w:fldCharType="separate"/>
        </w:r>
        <w:r w:rsidR="00924FB5" w:rsidRPr="003506E5">
          <w:rPr>
            <w:noProof/>
            <w:webHidden/>
          </w:rPr>
          <w:t>17</w:t>
        </w:r>
        <w:r w:rsidR="00924FB5" w:rsidRPr="003506E5">
          <w:rPr>
            <w:noProof/>
            <w:webHidden/>
          </w:rPr>
          <w:fldChar w:fldCharType="end"/>
        </w:r>
      </w:hyperlink>
    </w:p>
    <w:p w14:paraId="09000C51" w14:textId="1929A43A" w:rsidR="00924FB5" w:rsidRPr="003506E5" w:rsidRDefault="007049C3">
      <w:pPr>
        <w:pStyle w:val="TOC2"/>
        <w:tabs>
          <w:tab w:val="left" w:pos="660"/>
          <w:tab w:val="right" w:leader="dot" w:pos="9010"/>
        </w:tabs>
        <w:rPr>
          <w:rFonts w:eastAsiaTheme="minorEastAsia" w:cstheme="minorBidi"/>
          <w:b w:val="0"/>
          <w:bCs w:val="0"/>
          <w:noProof/>
          <w:sz w:val="22"/>
          <w:szCs w:val="22"/>
          <w:lang w:eastAsia="en-US"/>
        </w:rPr>
      </w:pPr>
      <w:hyperlink w:anchor="_Toc57215270" w:history="1">
        <w:r w:rsidR="00924FB5" w:rsidRPr="003506E5">
          <w:rPr>
            <w:rStyle w:val="Hyperlink"/>
            <w:rFonts w:eastAsiaTheme="majorEastAsia"/>
            <w:noProof/>
          </w:rPr>
          <w:t>3.1</w:t>
        </w:r>
        <w:r w:rsidR="00924FB5" w:rsidRPr="003506E5">
          <w:rPr>
            <w:rFonts w:eastAsiaTheme="minorEastAsia" w:cstheme="minorBidi"/>
            <w:b w:val="0"/>
            <w:bCs w:val="0"/>
            <w:noProof/>
            <w:sz w:val="22"/>
            <w:szCs w:val="22"/>
            <w:lang w:eastAsia="en-US"/>
          </w:rPr>
          <w:tab/>
        </w:r>
        <w:r w:rsidR="00924FB5" w:rsidRPr="003506E5">
          <w:rPr>
            <w:rStyle w:val="Hyperlink"/>
            <w:rFonts w:eastAsiaTheme="majorEastAsia"/>
            <w:noProof/>
          </w:rPr>
          <w:t>Health Insurance Schemes funded by the GoKP</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_Toc57215270 \h </w:instrText>
        </w:r>
        <w:r w:rsidR="00924FB5" w:rsidRPr="003506E5">
          <w:rPr>
            <w:noProof/>
            <w:webHidden/>
          </w:rPr>
        </w:r>
        <w:r w:rsidR="00924FB5" w:rsidRPr="003506E5">
          <w:rPr>
            <w:noProof/>
            <w:webHidden/>
          </w:rPr>
          <w:fldChar w:fldCharType="separate"/>
        </w:r>
        <w:r w:rsidR="00924FB5" w:rsidRPr="003506E5">
          <w:rPr>
            <w:noProof/>
            <w:webHidden/>
          </w:rPr>
          <w:t>17</w:t>
        </w:r>
        <w:r w:rsidR="00924FB5" w:rsidRPr="003506E5">
          <w:rPr>
            <w:noProof/>
            <w:webHidden/>
          </w:rPr>
          <w:fldChar w:fldCharType="end"/>
        </w:r>
      </w:hyperlink>
    </w:p>
    <w:p w14:paraId="61E52304" w14:textId="4AF3A5B3" w:rsidR="00924FB5" w:rsidRPr="003506E5" w:rsidRDefault="007049C3">
      <w:pPr>
        <w:pStyle w:val="TOC3"/>
        <w:tabs>
          <w:tab w:val="left" w:pos="880"/>
          <w:tab w:val="right" w:leader="dot" w:pos="9010"/>
        </w:tabs>
        <w:rPr>
          <w:rFonts w:eastAsiaTheme="minorEastAsia" w:cstheme="minorBidi"/>
          <w:noProof/>
          <w:sz w:val="22"/>
          <w:szCs w:val="22"/>
          <w:lang w:eastAsia="en-US"/>
        </w:rPr>
      </w:pPr>
      <w:hyperlink w:anchor="_Toc57215271" w:history="1">
        <w:r w:rsidR="00924FB5" w:rsidRPr="003506E5">
          <w:rPr>
            <w:rStyle w:val="Hyperlink"/>
            <w:noProof/>
          </w:rPr>
          <w:t>3.1.1</w:t>
        </w:r>
        <w:r w:rsidR="00924FB5" w:rsidRPr="003506E5">
          <w:rPr>
            <w:rFonts w:eastAsiaTheme="minorEastAsia" w:cstheme="minorBidi"/>
            <w:noProof/>
            <w:sz w:val="22"/>
            <w:szCs w:val="22"/>
            <w:lang w:eastAsia="en-US"/>
          </w:rPr>
          <w:tab/>
        </w:r>
        <w:r w:rsidR="00924FB5" w:rsidRPr="003506E5">
          <w:rPr>
            <w:rStyle w:val="Hyperlink"/>
            <w:noProof/>
          </w:rPr>
          <w:t>Sehat Sahulat Programme (federal)</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_Toc57215271 \h </w:instrText>
        </w:r>
        <w:r w:rsidR="00924FB5" w:rsidRPr="003506E5">
          <w:rPr>
            <w:noProof/>
            <w:webHidden/>
          </w:rPr>
        </w:r>
        <w:r w:rsidR="00924FB5" w:rsidRPr="003506E5">
          <w:rPr>
            <w:noProof/>
            <w:webHidden/>
          </w:rPr>
          <w:fldChar w:fldCharType="separate"/>
        </w:r>
        <w:r w:rsidR="00924FB5" w:rsidRPr="003506E5">
          <w:rPr>
            <w:noProof/>
            <w:webHidden/>
          </w:rPr>
          <w:t>17</w:t>
        </w:r>
        <w:r w:rsidR="00924FB5" w:rsidRPr="003506E5">
          <w:rPr>
            <w:noProof/>
            <w:webHidden/>
          </w:rPr>
          <w:fldChar w:fldCharType="end"/>
        </w:r>
      </w:hyperlink>
    </w:p>
    <w:p w14:paraId="2E7D3502" w14:textId="423F49B4" w:rsidR="00924FB5" w:rsidRPr="003506E5" w:rsidRDefault="007049C3">
      <w:pPr>
        <w:pStyle w:val="TOC3"/>
        <w:tabs>
          <w:tab w:val="left" w:pos="880"/>
          <w:tab w:val="right" w:leader="dot" w:pos="9010"/>
        </w:tabs>
        <w:rPr>
          <w:rFonts w:eastAsiaTheme="minorEastAsia" w:cstheme="minorBidi"/>
          <w:noProof/>
          <w:sz w:val="22"/>
          <w:szCs w:val="22"/>
          <w:lang w:eastAsia="en-US"/>
        </w:rPr>
      </w:pPr>
      <w:hyperlink w:anchor="_Toc57215272" w:history="1">
        <w:r w:rsidR="00924FB5" w:rsidRPr="003506E5">
          <w:rPr>
            <w:rStyle w:val="Hyperlink"/>
            <w:noProof/>
          </w:rPr>
          <w:t>3.1.2</w:t>
        </w:r>
        <w:r w:rsidR="00924FB5" w:rsidRPr="003506E5">
          <w:rPr>
            <w:rFonts w:eastAsiaTheme="minorEastAsia" w:cstheme="minorBidi"/>
            <w:noProof/>
            <w:sz w:val="22"/>
            <w:szCs w:val="22"/>
            <w:lang w:eastAsia="en-US"/>
          </w:rPr>
          <w:tab/>
        </w:r>
        <w:r w:rsidR="00924FB5" w:rsidRPr="003506E5">
          <w:rPr>
            <w:rStyle w:val="Hyperlink"/>
            <w:noProof/>
          </w:rPr>
          <w:t>Sehat Sahulat Programme (GoKP funded - Phase IV)</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_Toc57215272 \h </w:instrText>
        </w:r>
        <w:r w:rsidR="00924FB5" w:rsidRPr="003506E5">
          <w:rPr>
            <w:noProof/>
            <w:webHidden/>
          </w:rPr>
        </w:r>
        <w:r w:rsidR="00924FB5" w:rsidRPr="003506E5">
          <w:rPr>
            <w:noProof/>
            <w:webHidden/>
          </w:rPr>
          <w:fldChar w:fldCharType="separate"/>
        </w:r>
        <w:r w:rsidR="00924FB5" w:rsidRPr="003506E5">
          <w:rPr>
            <w:noProof/>
            <w:webHidden/>
          </w:rPr>
          <w:t>17</w:t>
        </w:r>
        <w:r w:rsidR="00924FB5" w:rsidRPr="003506E5">
          <w:rPr>
            <w:noProof/>
            <w:webHidden/>
          </w:rPr>
          <w:fldChar w:fldCharType="end"/>
        </w:r>
      </w:hyperlink>
    </w:p>
    <w:p w14:paraId="14675E6D" w14:textId="773CF375" w:rsidR="00924FB5" w:rsidRPr="003506E5" w:rsidRDefault="007049C3">
      <w:pPr>
        <w:pStyle w:val="TOC3"/>
        <w:tabs>
          <w:tab w:val="left" w:pos="880"/>
          <w:tab w:val="right" w:leader="dot" w:pos="9010"/>
        </w:tabs>
        <w:rPr>
          <w:rFonts w:eastAsiaTheme="minorEastAsia" w:cstheme="minorBidi"/>
          <w:noProof/>
          <w:sz w:val="22"/>
          <w:szCs w:val="22"/>
          <w:lang w:eastAsia="en-US"/>
        </w:rPr>
      </w:pPr>
      <w:hyperlink w:anchor="_Toc57215273" w:history="1">
        <w:r w:rsidR="00924FB5" w:rsidRPr="003506E5">
          <w:rPr>
            <w:rStyle w:val="Hyperlink"/>
            <w:noProof/>
          </w:rPr>
          <w:t>3.1.3</w:t>
        </w:r>
        <w:r w:rsidR="00924FB5" w:rsidRPr="003506E5">
          <w:rPr>
            <w:rFonts w:eastAsiaTheme="minorEastAsia" w:cstheme="minorBidi"/>
            <w:noProof/>
            <w:sz w:val="22"/>
            <w:szCs w:val="22"/>
            <w:lang w:eastAsia="en-US"/>
          </w:rPr>
          <w:tab/>
        </w:r>
        <w:r w:rsidR="00924FB5" w:rsidRPr="003506E5">
          <w:rPr>
            <w:rStyle w:val="Hyperlink"/>
            <w:noProof/>
          </w:rPr>
          <w:t>Sehat Sahulat Programme (100% coverage)</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_Toc57215273 \h </w:instrText>
        </w:r>
        <w:r w:rsidR="00924FB5" w:rsidRPr="003506E5">
          <w:rPr>
            <w:noProof/>
            <w:webHidden/>
          </w:rPr>
        </w:r>
        <w:r w:rsidR="00924FB5" w:rsidRPr="003506E5">
          <w:rPr>
            <w:noProof/>
            <w:webHidden/>
          </w:rPr>
          <w:fldChar w:fldCharType="separate"/>
        </w:r>
        <w:r w:rsidR="00924FB5" w:rsidRPr="003506E5">
          <w:rPr>
            <w:noProof/>
            <w:webHidden/>
          </w:rPr>
          <w:t>17</w:t>
        </w:r>
        <w:r w:rsidR="00924FB5" w:rsidRPr="003506E5">
          <w:rPr>
            <w:noProof/>
            <w:webHidden/>
          </w:rPr>
          <w:fldChar w:fldCharType="end"/>
        </w:r>
      </w:hyperlink>
    </w:p>
    <w:p w14:paraId="5C9E4720" w14:textId="619D9FE2" w:rsidR="00924FB5" w:rsidRPr="003506E5" w:rsidRDefault="007049C3">
      <w:pPr>
        <w:pStyle w:val="TOC2"/>
        <w:tabs>
          <w:tab w:val="left" w:pos="660"/>
          <w:tab w:val="right" w:leader="dot" w:pos="9010"/>
        </w:tabs>
        <w:rPr>
          <w:rFonts w:eastAsiaTheme="minorEastAsia" w:cstheme="minorBidi"/>
          <w:b w:val="0"/>
          <w:bCs w:val="0"/>
          <w:noProof/>
          <w:sz w:val="22"/>
          <w:szCs w:val="22"/>
          <w:lang w:eastAsia="en-US"/>
        </w:rPr>
      </w:pPr>
      <w:hyperlink w:anchor="_Toc57215274" w:history="1">
        <w:r w:rsidR="00924FB5" w:rsidRPr="003506E5">
          <w:rPr>
            <w:rStyle w:val="Hyperlink"/>
            <w:rFonts w:eastAsiaTheme="majorEastAsia"/>
            <w:noProof/>
          </w:rPr>
          <w:t>3.2</w:t>
        </w:r>
        <w:r w:rsidR="00924FB5" w:rsidRPr="003506E5">
          <w:rPr>
            <w:rFonts w:eastAsiaTheme="minorEastAsia" w:cstheme="minorBidi"/>
            <w:b w:val="0"/>
            <w:bCs w:val="0"/>
            <w:noProof/>
            <w:sz w:val="22"/>
            <w:szCs w:val="22"/>
            <w:lang w:eastAsia="en-US"/>
          </w:rPr>
          <w:tab/>
        </w:r>
        <w:r w:rsidR="00924FB5" w:rsidRPr="003506E5">
          <w:rPr>
            <w:rStyle w:val="Hyperlink"/>
            <w:rFonts w:eastAsiaTheme="majorEastAsia"/>
            <w:noProof/>
          </w:rPr>
          <w:t>Health Insurance Schemes funded by the GoGB</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_Toc57215274 \h </w:instrText>
        </w:r>
        <w:r w:rsidR="00924FB5" w:rsidRPr="003506E5">
          <w:rPr>
            <w:noProof/>
            <w:webHidden/>
          </w:rPr>
        </w:r>
        <w:r w:rsidR="00924FB5" w:rsidRPr="003506E5">
          <w:rPr>
            <w:noProof/>
            <w:webHidden/>
          </w:rPr>
          <w:fldChar w:fldCharType="separate"/>
        </w:r>
        <w:r w:rsidR="00924FB5" w:rsidRPr="003506E5">
          <w:rPr>
            <w:noProof/>
            <w:webHidden/>
          </w:rPr>
          <w:t>18</w:t>
        </w:r>
        <w:r w:rsidR="00924FB5" w:rsidRPr="003506E5">
          <w:rPr>
            <w:noProof/>
            <w:webHidden/>
          </w:rPr>
          <w:fldChar w:fldCharType="end"/>
        </w:r>
      </w:hyperlink>
    </w:p>
    <w:p w14:paraId="3F1B7410" w14:textId="2709B28D" w:rsidR="00924FB5" w:rsidRPr="003506E5" w:rsidRDefault="007049C3">
      <w:pPr>
        <w:pStyle w:val="TOC3"/>
        <w:tabs>
          <w:tab w:val="left" w:pos="880"/>
          <w:tab w:val="right" w:leader="dot" w:pos="9010"/>
        </w:tabs>
        <w:rPr>
          <w:rFonts w:eastAsiaTheme="minorEastAsia" w:cstheme="minorBidi"/>
          <w:noProof/>
          <w:sz w:val="22"/>
          <w:szCs w:val="22"/>
          <w:lang w:eastAsia="en-US"/>
        </w:rPr>
      </w:pPr>
      <w:hyperlink w:anchor="_Toc57215275" w:history="1">
        <w:r w:rsidR="00924FB5" w:rsidRPr="003506E5">
          <w:rPr>
            <w:rStyle w:val="Hyperlink"/>
            <w:noProof/>
          </w:rPr>
          <w:t>3.2.1</w:t>
        </w:r>
        <w:r w:rsidR="00924FB5" w:rsidRPr="003506E5">
          <w:rPr>
            <w:rFonts w:eastAsiaTheme="minorEastAsia" w:cstheme="minorBidi"/>
            <w:noProof/>
            <w:sz w:val="22"/>
            <w:szCs w:val="22"/>
            <w:lang w:eastAsia="en-US"/>
          </w:rPr>
          <w:tab/>
        </w:r>
        <w:r w:rsidR="00924FB5" w:rsidRPr="003506E5">
          <w:rPr>
            <w:rStyle w:val="Hyperlink"/>
            <w:noProof/>
          </w:rPr>
          <w:t>Federal Government funded Sehat Sahulat Programme</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_Toc57215275 \h </w:instrText>
        </w:r>
        <w:r w:rsidR="00924FB5" w:rsidRPr="003506E5">
          <w:rPr>
            <w:noProof/>
            <w:webHidden/>
          </w:rPr>
        </w:r>
        <w:r w:rsidR="00924FB5" w:rsidRPr="003506E5">
          <w:rPr>
            <w:noProof/>
            <w:webHidden/>
          </w:rPr>
          <w:fldChar w:fldCharType="separate"/>
        </w:r>
        <w:r w:rsidR="00924FB5" w:rsidRPr="003506E5">
          <w:rPr>
            <w:noProof/>
            <w:webHidden/>
          </w:rPr>
          <w:t>18</w:t>
        </w:r>
        <w:r w:rsidR="00924FB5" w:rsidRPr="003506E5">
          <w:rPr>
            <w:noProof/>
            <w:webHidden/>
          </w:rPr>
          <w:fldChar w:fldCharType="end"/>
        </w:r>
      </w:hyperlink>
    </w:p>
    <w:p w14:paraId="1B4050B2" w14:textId="4B5BD187" w:rsidR="00924FB5" w:rsidRPr="003506E5" w:rsidRDefault="007049C3">
      <w:pPr>
        <w:pStyle w:val="TOC3"/>
        <w:tabs>
          <w:tab w:val="left" w:pos="880"/>
          <w:tab w:val="right" w:leader="dot" w:pos="9010"/>
        </w:tabs>
        <w:rPr>
          <w:rFonts w:eastAsiaTheme="minorEastAsia" w:cstheme="minorBidi"/>
          <w:noProof/>
          <w:sz w:val="22"/>
          <w:szCs w:val="22"/>
          <w:lang w:eastAsia="en-US"/>
        </w:rPr>
      </w:pPr>
      <w:hyperlink w:anchor="_Toc57215276" w:history="1">
        <w:r w:rsidR="00924FB5" w:rsidRPr="003506E5">
          <w:rPr>
            <w:rStyle w:val="Hyperlink"/>
            <w:noProof/>
          </w:rPr>
          <w:t>3.2.2</w:t>
        </w:r>
        <w:r w:rsidR="00924FB5" w:rsidRPr="003506E5">
          <w:rPr>
            <w:rFonts w:eastAsiaTheme="minorEastAsia" w:cstheme="minorBidi"/>
            <w:noProof/>
            <w:sz w:val="22"/>
            <w:szCs w:val="22"/>
            <w:lang w:eastAsia="en-US"/>
          </w:rPr>
          <w:tab/>
        </w:r>
        <w:r w:rsidR="00924FB5" w:rsidRPr="003506E5">
          <w:rPr>
            <w:rStyle w:val="Hyperlink"/>
            <w:noProof/>
          </w:rPr>
          <w:t>Government Employees Health and Life Insurance Scheme</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_Toc57215276 \h </w:instrText>
        </w:r>
        <w:r w:rsidR="00924FB5" w:rsidRPr="003506E5">
          <w:rPr>
            <w:noProof/>
            <w:webHidden/>
          </w:rPr>
        </w:r>
        <w:r w:rsidR="00924FB5" w:rsidRPr="003506E5">
          <w:rPr>
            <w:noProof/>
            <w:webHidden/>
          </w:rPr>
          <w:fldChar w:fldCharType="separate"/>
        </w:r>
        <w:r w:rsidR="00924FB5" w:rsidRPr="003506E5">
          <w:rPr>
            <w:noProof/>
            <w:webHidden/>
          </w:rPr>
          <w:t>18</w:t>
        </w:r>
        <w:r w:rsidR="00924FB5" w:rsidRPr="003506E5">
          <w:rPr>
            <w:noProof/>
            <w:webHidden/>
          </w:rPr>
          <w:fldChar w:fldCharType="end"/>
        </w:r>
      </w:hyperlink>
    </w:p>
    <w:p w14:paraId="0D649010" w14:textId="40220801" w:rsidR="00924FB5" w:rsidRPr="003506E5" w:rsidRDefault="007049C3">
      <w:pPr>
        <w:pStyle w:val="TOC3"/>
        <w:tabs>
          <w:tab w:val="left" w:pos="880"/>
          <w:tab w:val="right" w:leader="dot" w:pos="9010"/>
        </w:tabs>
        <w:rPr>
          <w:rFonts w:eastAsiaTheme="minorEastAsia" w:cstheme="minorBidi"/>
          <w:noProof/>
          <w:sz w:val="22"/>
          <w:szCs w:val="22"/>
          <w:lang w:eastAsia="en-US"/>
        </w:rPr>
      </w:pPr>
      <w:hyperlink w:anchor="_Toc57215277" w:history="1">
        <w:r w:rsidR="00924FB5" w:rsidRPr="003506E5">
          <w:rPr>
            <w:rStyle w:val="Hyperlink"/>
            <w:noProof/>
          </w:rPr>
          <w:t>3.2.3</w:t>
        </w:r>
        <w:r w:rsidR="00924FB5" w:rsidRPr="003506E5">
          <w:rPr>
            <w:rFonts w:eastAsiaTheme="minorEastAsia" w:cstheme="minorBidi"/>
            <w:noProof/>
            <w:sz w:val="22"/>
            <w:szCs w:val="22"/>
            <w:lang w:eastAsia="en-US"/>
          </w:rPr>
          <w:tab/>
        </w:r>
        <w:r w:rsidR="00924FB5" w:rsidRPr="003506E5">
          <w:rPr>
            <w:rStyle w:val="Hyperlink"/>
            <w:noProof/>
          </w:rPr>
          <w:t>Religious Clerics Health Insurance Scheme</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_Toc57215277 \h </w:instrText>
        </w:r>
        <w:r w:rsidR="00924FB5" w:rsidRPr="003506E5">
          <w:rPr>
            <w:noProof/>
            <w:webHidden/>
          </w:rPr>
        </w:r>
        <w:r w:rsidR="00924FB5" w:rsidRPr="003506E5">
          <w:rPr>
            <w:noProof/>
            <w:webHidden/>
          </w:rPr>
          <w:fldChar w:fldCharType="separate"/>
        </w:r>
        <w:r w:rsidR="00924FB5" w:rsidRPr="003506E5">
          <w:rPr>
            <w:noProof/>
            <w:webHidden/>
          </w:rPr>
          <w:t>19</w:t>
        </w:r>
        <w:r w:rsidR="00924FB5" w:rsidRPr="003506E5">
          <w:rPr>
            <w:noProof/>
            <w:webHidden/>
          </w:rPr>
          <w:fldChar w:fldCharType="end"/>
        </w:r>
      </w:hyperlink>
    </w:p>
    <w:p w14:paraId="65F76FA8" w14:textId="0CEB9901" w:rsidR="00924FB5" w:rsidRPr="003506E5" w:rsidRDefault="007049C3">
      <w:pPr>
        <w:pStyle w:val="TOC1"/>
        <w:tabs>
          <w:tab w:val="left" w:pos="440"/>
          <w:tab w:val="right" w:leader="dot" w:pos="9010"/>
        </w:tabs>
        <w:rPr>
          <w:rFonts w:asciiTheme="minorHAnsi" w:eastAsiaTheme="minorEastAsia" w:hAnsiTheme="minorHAnsi" w:cstheme="minorBidi"/>
          <w:b w:val="0"/>
          <w:bCs w:val="0"/>
          <w:caps w:val="0"/>
          <w:noProof/>
          <w:sz w:val="22"/>
          <w:szCs w:val="22"/>
          <w:lang w:eastAsia="en-US"/>
        </w:rPr>
      </w:pPr>
      <w:hyperlink w:anchor="_Toc57215278" w:history="1">
        <w:r w:rsidR="00924FB5" w:rsidRPr="003506E5">
          <w:rPr>
            <w:rStyle w:val="Hyperlink"/>
            <w:noProof/>
          </w:rPr>
          <w:t>4</w:t>
        </w:r>
        <w:r w:rsidR="00924FB5" w:rsidRPr="003506E5">
          <w:rPr>
            <w:rFonts w:asciiTheme="minorHAnsi" w:eastAsiaTheme="minorEastAsia" w:hAnsiTheme="minorHAnsi" w:cstheme="minorBidi"/>
            <w:b w:val="0"/>
            <w:bCs w:val="0"/>
            <w:caps w:val="0"/>
            <w:noProof/>
            <w:sz w:val="22"/>
            <w:szCs w:val="22"/>
            <w:lang w:eastAsia="en-US"/>
          </w:rPr>
          <w:tab/>
        </w:r>
        <w:r w:rsidR="00924FB5" w:rsidRPr="003506E5">
          <w:rPr>
            <w:rStyle w:val="Hyperlink"/>
            <w:noProof/>
          </w:rPr>
          <w:t>Developments in Health Insurance Programmes in GB</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_Toc57215278 \h </w:instrText>
        </w:r>
        <w:r w:rsidR="00924FB5" w:rsidRPr="003506E5">
          <w:rPr>
            <w:noProof/>
            <w:webHidden/>
          </w:rPr>
        </w:r>
        <w:r w:rsidR="00924FB5" w:rsidRPr="003506E5">
          <w:rPr>
            <w:noProof/>
            <w:webHidden/>
          </w:rPr>
          <w:fldChar w:fldCharType="separate"/>
        </w:r>
        <w:r w:rsidR="00924FB5" w:rsidRPr="003506E5">
          <w:rPr>
            <w:noProof/>
            <w:webHidden/>
          </w:rPr>
          <w:t>21</w:t>
        </w:r>
        <w:r w:rsidR="00924FB5" w:rsidRPr="003506E5">
          <w:rPr>
            <w:noProof/>
            <w:webHidden/>
          </w:rPr>
          <w:fldChar w:fldCharType="end"/>
        </w:r>
      </w:hyperlink>
    </w:p>
    <w:p w14:paraId="6083628F" w14:textId="0BBCEBC3" w:rsidR="00924FB5" w:rsidRPr="003506E5" w:rsidRDefault="007049C3">
      <w:pPr>
        <w:pStyle w:val="TOC2"/>
        <w:tabs>
          <w:tab w:val="left" w:pos="660"/>
          <w:tab w:val="right" w:leader="dot" w:pos="9010"/>
        </w:tabs>
        <w:rPr>
          <w:rFonts w:eastAsiaTheme="minorEastAsia" w:cstheme="minorBidi"/>
          <w:b w:val="0"/>
          <w:bCs w:val="0"/>
          <w:noProof/>
          <w:sz w:val="22"/>
          <w:szCs w:val="22"/>
          <w:lang w:eastAsia="en-US"/>
        </w:rPr>
      </w:pPr>
      <w:hyperlink w:anchor="_Toc57215279" w:history="1">
        <w:r w:rsidR="00924FB5" w:rsidRPr="003506E5">
          <w:rPr>
            <w:rStyle w:val="Hyperlink"/>
            <w:rFonts w:eastAsiaTheme="majorEastAsia"/>
            <w:noProof/>
          </w:rPr>
          <w:t>4.1</w:t>
        </w:r>
        <w:r w:rsidR="00924FB5" w:rsidRPr="003506E5">
          <w:rPr>
            <w:rFonts w:eastAsiaTheme="minorEastAsia" w:cstheme="minorBidi"/>
            <w:b w:val="0"/>
            <w:bCs w:val="0"/>
            <w:noProof/>
            <w:sz w:val="22"/>
            <w:szCs w:val="22"/>
            <w:lang w:eastAsia="en-US"/>
          </w:rPr>
          <w:tab/>
        </w:r>
        <w:r w:rsidR="00924FB5" w:rsidRPr="003506E5">
          <w:rPr>
            <w:rStyle w:val="Hyperlink"/>
            <w:rFonts w:eastAsiaTheme="majorEastAsia"/>
            <w:noProof/>
          </w:rPr>
          <w:t>KfW funded Social Health Protection Initiative</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_Toc57215279 \h </w:instrText>
        </w:r>
        <w:r w:rsidR="00924FB5" w:rsidRPr="003506E5">
          <w:rPr>
            <w:noProof/>
            <w:webHidden/>
          </w:rPr>
        </w:r>
        <w:r w:rsidR="00924FB5" w:rsidRPr="003506E5">
          <w:rPr>
            <w:noProof/>
            <w:webHidden/>
          </w:rPr>
          <w:fldChar w:fldCharType="separate"/>
        </w:r>
        <w:r w:rsidR="00924FB5" w:rsidRPr="003506E5">
          <w:rPr>
            <w:noProof/>
            <w:webHidden/>
          </w:rPr>
          <w:t>21</w:t>
        </w:r>
        <w:r w:rsidR="00924FB5" w:rsidRPr="003506E5">
          <w:rPr>
            <w:noProof/>
            <w:webHidden/>
          </w:rPr>
          <w:fldChar w:fldCharType="end"/>
        </w:r>
      </w:hyperlink>
    </w:p>
    <w:p w14:paraId="2B6902AF" w14:textId="01F716CB" w:rsidR="00924FB5" w:rsidRPr="003506E5" w:rsidRDefault="007049C3">
      <w:pPr>
        <w:pStyle w:val="TOC3"/>
        <w:tabs>
          <w:tab w:val="left" w:pos="880"/>
          <w:tab w:val="right" w:leader="dot" w:pos="9010"/>
        </w:tabs>
        <w:rPr>
          <w:rFonts w:eastAsiaTheme="minorEastAsia" w:cstheme="minorBidi"/>
          <w:noProof/>
          <w:sz w:val="22"/>
          <w:szCs w:val="22"/>
          <w:lang w:eastAsia="en-US"/>
        </w:rPr>
      </w:pPr>
      <w:hyperlink w:anchor="_Toc57215280" w:history="1">
        <w:r w:rsidR="00924FB5" w:rsidRPr="003506E5">
          <w:rPr>
            <w:rStyle w:val="Hyperlink"/>
            <w:rFonts w:eastAsia="Times New Roman" w:cs="Times New Roman"/>
            <w:noProof/>
            <w:kern w:val="32"/>
          </w:rPr>
          <w:t>4.1.1</w:t>
        </w:r>
        <w:r w:rsidR="00924FB5" w:rsidRPr="003506E5">
          <w:rPr>
            <w:rFonts w:eastAsiaTheme="minorEastAsia" w:cstheme="minorBidi"/>
            <w:noProof/>
            <w:sz w:val="22"/>
            <w:szCs w:val="22"/>
            <w:lang w:eastAsia="en-US"/>
          </w:rPr>
          <w:tab/>
        </w:r>
        <w:r w:rsidR="00924FB5" w:rsidRPr="003506E5">
          <w:rPr>
            <w:rStyle w:val="Hyperlink"/>
            <w:rFonts w:eastAsia="Times New Roman" w:cs="Times New Roman"/>
            <w:noProof/>
            <w:kern w:val="32"/>
          </w:rPr>
          <w:t>Extension of Phase-I of SHPI in GB</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_Toc57215280 \h </w:instrText>
        </w:r>
        <w:r w:rsidR="00924FB5" w:rsidRPr="003506E5">
          <w:rPr>
            <w:noProof/>
            <w:webHidden/>
          </w:rPr>
        </w:r>
        <w:r w:rsidR="00924FB5" w:rsidRPr="003506E5">
          <w:rPr>
            <w:noProof/>
            <w:webHidden/>
          </w:rPr>
          <w:fldChar w:fldCharType="separate"/>
        </w:r>
        <w:r w:rsidR="00924FB5" w:rsidRPr="003506E5">
          <w:rPr>
            <w:noProof/>
            <w:webHidden/>
          </w:rPr>
          <w:t>22</w:t>
        </w:r>
        <w:r w:rsidR="00924FB5" w:rsidRPr="003506E5">
          <w:rPr>
            <w:noProof/>
            <w:webHidden/>
          </w:rPr>
          <w:fldChar w:fldCharType="end"/>
        </w:r>
      </w:hyperlink>
    </w:p>
    <w:p w14:paraId="7698BB47" w14:textId="5FE376BE" w:rsidR="00924FB5" w:rsidRPr="003506E5" w:rsidRDefault="007049C3">
      <w:pPr>
        <w:pStyle w:val="TOC1"/>
        <w:tabs>
          <w:tab w:val="left" w:pos="440"/>
          <w:tab w:val="right" w:leader="dot" w:pos="9010"/>
        </w:tabs>
        <w:rPr>
          <w:rFonts w:asciiTheme="minorHAnsi" w:eastAsiaTheme="minorEastAsia" w:hAnsiTheme="minorHAnsi" w:cstheme="minorBidi"/>
          <w:b w:val="0"/>
          <w:bCs w:val="0"/>
          <w:caps w:val="0"/>
          <w:noProof/>
          <w:sz w:val="22"/>
          <w:szCs w:val="22"/>
          <w:lang w:eastAsia="en-US"/>
        </w:rPr>
      </w:pPr>
      <w:hyperlink w:anchor="_Toc57215281" w:history="1">
        <w:r w:rsidR="00924FB5" w:rsidRPr="003506E5">
          <w:rPr>
            <w:rStyle w:val="Hyperlink"/>
            <w:noProof/>
          </w:rPr>
          <w:t>5</w:t>
        </w:r>
        <w:r w:rsidR="00924FB5" w:rsidRPr="003506E5">
          <w:rPr>
            <w:rFonts w:asciiTheme="minorHAnsi" w:eastAsiaTheme="minorEastAsia" w:hAnsiTheme="minorHAnsi" w:cstheme="minorBidi"/>
            <w:b w:val="0"/>
            <w:bCs w:val="0"/>
            <w:caps w:val="0"/>
            <w:noProof/>
            <w:sz w:val="22"/>
            <w:szCs w:val="22"/>
            <w:lang w:eastAsia="en-US"/>
          </w:rPr>
          <w:tab/>
        </w:r>
        <w:r w:rsidR="00924FB5" w:rsidRPr="003506E5">
          <w:rPr>
            <w:rStyle w:val="Hyperlink"/>
            <w:noProof/>
          </w:rPr>
          <w:t>Enrolment of Eligible Beneficiaries in GB</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_Toc57215281 \h </w:instrText>
        </w:r>
        <w:r w:rsidR="00924FB5" w:rsidRPr="003506E5">
          <w:rPr>
            <w:noProof/>
            <w:webHidden/>
          </w:rPr>
        </w:r>
        <w:r w:rsidR="00924FB5" w:rsidRPr="003506E5">
          <w:rPr>
            <w:noProof/>
            <w:webHidden/>
          </w:rPr>
          <w:fldChar w:fldCharType="separate"/>
        </w:r>
        <w:r w:rsidR="00924FB5" w:rsidRPr="003506E5">
          <w:rPr>
            <w:noProof/>
            <w:webHidden/>
          </w:rPr>
          <w:t>23</w:t>
        </w:r>
        <w:r w:rsidR="00924FB5" w:rsidRPr="003506E5">
          <w:rPr>
            <w:noProof/>
            <w:webHidden/>
          </w:rPr>
          <w:fldChar w:fldCharType="end"/>
        </w:r>
      </w:hyperlink>
    </w:p>
    <w:p w14:paraId="5C558C7A" w14:textId="54AFED44" w:rsidR="00924FB5" w:rsidRPr="003506E5" w:rsidRDefault="007049C3">
      <w:pPr>
        <w:pStyle w:val="TOC2"/>
        <w:tabs>
          <w:tab w:val="left" w:pos="660"/>
          <w:tab w:val="right" w:leader="dot" w:pos="9010"/>
        </w:tabs>
        <w:rPr>
          <w:rFonts w:eastAsiaTheme="minorEastAsia" w:cstheme="minorBidi"/>
          <w:b w:val="0"/>
          <w:bCs w:val="0"/>
          <w:noProof/>
          <w:sz w:val="22"/>
          <w:szCs w:val="22"/>
          <w:lang w:eastAsia="en-US"/>
        </w:rPr>
      </w:pPr>
      <w:hyperlink w:anchor="_Toc57215282" w:history="1">
        <w:r w:rsidR="00924FB5" w:rsidRPr="003506E5">
          <w:rPr>
            <w:rStyle w:val="Hyperlink"/>
            <w:noProof/>
          </w:rPr>
          <w:t>5.1</w:t>
        </w:r>
        <w:r w:rsidR="00924FB5" w:rsidRPr="003506E5">
          <w:rPr>
            <w:rFonts w:eastAsiaTheme="minorEastAsia" w:cstheme="minorBidi"/>
            <w:b w:val="0"/>
            <w:bCs w:val="0"/>
            <w:noProof/>
            <w:sz w:val="22"/>
            <w:szCs w:val="22"/>
            <w:lang w:eastAsia="en-US"/>
          </w:rPr>
          <w:tab/>
        </w:r>
        <w:r w:rsidR="00924FB5" w:rsidRPr="003506E5">
          <w:rPr>
            <w:rStyle w:val="Hyperlink"/>
            <w:noProof/>
          </w:rPr>
          <w:t>Programme Area and Population</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_Toc57215282 \h </w:instrText>
        </w:r>
        <w:r w:rsidR="00924FB5" w:rsidRPr="003506E5">
          <w:rPr>
            <w:noProof/>
            <w:webHidden/>
          </w:rPr>
        </w:r>
        <w:r w:rsidR="00924FB5" w:rsidRPr="003506E5">
          <w:rPr>
            <w:noProof/>
            <w:webHidden/>
          </w:rPr>
          <w:fldChar w:fldCharType="separate"/>
        </w:r>
        <w:r w:rsidR="00924FB5" w:rsidRPr="003506E5">
          <w:rPr>
            <w:noProof/>
            <w:webHidden/>
          </w:rPr>
          <w:t>23</w:t>
        </w:r>
        <w:r w:rsidR="00924FB5" w:rsidRPr="003506E5">
          <w:rPr>
            <w:noProof/>
            <w:webHidden/>
          </w:rPr>
          <w:fldChar w:fldCharType="end"/>
        </w:r>
      </w:hyperlink>
    </w:p>
    <w:p w14:paraId="58FAFD8F" w14:textId="43B6A711" w:rsidR="00924FB5" w:rsidRPr="003506E5" w:rsidRDefault="007049C3">
      <w:pPr>
        <w:pStyle w:val="TOC2"/>
        <w:tabs>
          <w:tab w:val="left" w:pos="660"/>
          <w:tab w:val="right" w:leader="dot" w:pos="9010"/>
        </w:tabs>
        <w:rPr>
          <w:rFonts w:eastAsiaTheme="minorEastAsia" w:cstheme="minorBidi"/>
          <w:b w:val="0"/>
          <w:bCs w:val="0"/>
          <w:noProof/>
          <w:sz w:val="22"/>
          <w:szCs w:val="22"/>
          <w:lang w:eastAsia="en-US"/>
        </w:rPr>
      </w:pPr>
      <w:hyperlink w:anchor="_Toc57215283" w:history="1">
        <w:r w:rsidR="00924FB5" w:rsidRPr="003506E5">
          <w:rPr>
            <w:rStyle w:val="Hyperlink"/>
            <w:noProof/>
          </w:rPr>
          <w:t>5.2</w:t>
        </w:r>
        <w:r w:rsidR="00924FB5" w:rsidRPr="003506E5">
          <w:rPr>
            <w:rFonts w:eastAsiaTheme="minorEastAsia" w:cstheme="minorBidi"/>
            <w:b w:val="0"/>
            <w:bCs w:val="0"/>
            <w:noProof/>
            <w:sz w:val="22"/>
            <w:szCs w:val="22"/>
            <w:lang w:eastAsia="en-US"/>
          </w:rPr>
          <w:tab/>
        </w:r>
        <w:r w:rsidR="00924FB5" w:rsidRPr="003506E5">
          <w:rPr>
            <w:rStyle w:val="Hyperlink"/>
            <w:noProof/>
          </w:rPr>
          <w:t>Enrolment of Eligible Population</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_Toc57215283 \h </w:instrText>
        </w:r>
        <w:r w:rsidR="00924FB5" w:rsidRPr="003506E5">
          <w:rPr>
            <w:noProof/>
            <w:webHidden/>
          </w:rPr>
        </w:r>
        <w:r w:rsidR="00924FB5" w:rsidRPr="003506E5">
          <w:rPr>
            <w:noProof/>
            <w:webHidden/>
          </w:rPr>
          <w:fldChar w:fldCharType="separate"/>
        </w:r>
        <w:r w:rsidR="00924FB5" w:rsidRPr="003506E5">
          <w:rPr>
            <w:noProof/>
            <w:webHidden/>
          </w:rPr>
          <w:t>23</w:t>
        </w:r>
        <w:r w:rsidR="00924FB5" w:rsidRPr="003506E5">
          <w:rPr>
            <w:noProof/>
            <w:webHidden/>
          </w:rPr>
          <w:fldChar w:fldCharType="end"/>
        </w:r>
      </w:hyperlink>
    </w:p>
    <w:p w14:paraId="2FDE3D9A" w14:textId="18B6594F" w:rsidR="00924FB5" w:rsidRPr="003506E5" w:rsidRDefault="007049C3">
      <w:pPr>
        <w:pStyle w:val="TOC1"/>
        <w:tabs>
          <w:tab w:val="left" w:pos="440"/>
          <w:tab w:val="right" w:leader="dot" w:pos="9010"/>
        </w:tabs>
        <w:rPr>
          <w:rFonts w:asciiTheme="minorHAnsi" w:eastAsiaTheme="minorEastAsia" w:hAnsiTheme="minorHAnsi" w:cstheme="minorBidi"/>
          <w:b w:val="0"/>
          <w:bCs w:val="0"/>
          <w:caps w:val="0"/>
          <w:noProof/>
          <w:sz w:val="22"/>
          <w:szCs w:val="22"/>
          <w:lang w:eastAsia="en-US"/>
        </w:rPr>
      </w:pPr>
      <w:hyperlink w:anchor="_Toc57215284" w:history="1">
        <w:r w:rsidR="00924FB5" w:rsidRPr="003506E5">
          <w:rPr>
            <w:rStyle w:val="Hyperlink"/>
            <w:noProof/>
          </w:rPr>
          <w:t>6</w:t>
        </w:r>
        <w:r w:rsidR="00924FB5" w:rsidRPr="003506E5">
          <w:rPr>
            <w:rFonts w:asciiTheme="minorHAnsi" w:eastAsiaTheme="minorEastAsia" w:hAnsiTheme="minorHAnsi" w:cstheme="minorBidi"/>
            <w:b w:val="0"/>
            <w:bCs w:val="0"/>
            <w:caps w:val="0"/>
            <w:noProof/>
            <w:sz w:val="22"/>
            <w:szCs w:val="22"/>
            <w:lang w:eastAsia="en-US"/>
          </w:rPr>
          <w:tab/>
        </w:r>
        <w:r w:rsidR="00924FB5" w:rsidRPr="003506E5">
          <w:rPr>
            <w:rStyle w:val="Hyperlink"/>
            <w:noProof/>
          </w:rPr>
          <w:t>Enrolment of Paying Beneficiaries in GB</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_Toc57215284 \h </w:instrText>
        </w:r>
        <w:r w:rsidR="00924FB5" w:rsidRPr="003506E5">
          <w:rPr>
            <w:noProof/>
            <w:webHidden/>
          </w:rPr>
        </w:r>
        <w:r w:rsidR="00924FB5" w:rsidRPr="003506E5">
          <w:rPr>
            <w:noProof/>
            <w:webHidden/>
          </w:rPr>
          <w:fldChar w:fldCharType="separate"/>
        </w:r>
        <w:r w:rsidR="00924FB5" w:rsidRPr="003506E5">
          <w:rPr>
            <w:noProof/>
            <w:webHidden/>
          </w:rPr>
          <w:t>26</w:t>
        </w:r>
        <w:r w:rsidR="00924FB5" w:rsidRPr="003506E5">
          <w:rPr>
            <w:noProof/>
            <w:webHidden/>
          </w:rPr>
          <w:fldChar w:fldCharType="end"/>
        </w:r>
      </w:hyperlink>
    </w:p>
    <w:p w14:paraId="7BEE10F0" w14:textId="436D3CB6" w:rsidR="00924FB5" w:rsidRPr="003506E5" w:rsidRDefault="007049C3">
      <w:pPr>
        <w:pStyle w:val="TOC1"/>
        <w:tabs>
          <w:tab w:val="left" w:pos="440"/>
          <w:tab w:val="right" w:leader="dot" w:pos="9010"/>
        </w:tabs>
        <w:rPr>
          <w:rFonts w:asciiTheme="minorHAnsi" w:eastAsiaTheme="minorEastAsia" w:hAnsiTheme="minorHAnsi" w:cstheme="minorBidi"/>
          <w:b w:val="0"/>
          <w:bCs w:val="0"/>
          <w:caps w:val="0"/>
          <w:noProof/>
          <w:sz w:val="22"/>
          <w:szCs w:val="22"/>
          <w:lang w:eastAsia="en-US"/>
        </w:rPr>
      </w:pPr>
      <w:hyperlink w:anchor="_Toc57215285" w:history="1">
        <w:r w:rsidR="00924FB5" w:rsidRPr="003506E5">
          <w:rPr>
            <w:rStyle w:val="Hyperlink"/>
            <w:noProof/>
          </w:rPr>
          <w:t>7</w:t>
        </w:r>
        <w:r w:rsidR="00924FB5" w:rsidRPr="003506E5">
          <w:rPr>
            <w:rFonts w:asciiTheme="minorHAnsi" w:eastAsiaTheme="minorEastAsia" w:hAnsiTheme="minorHAnsi" w:cstheme="minorBidi"/>
            <w:b w:val="0"/>
            <w:bCs w:val="0"/>
            <w:caps w:val="0"/>
            <w:noProof/>
            <w:sz w:val="22"/>
            <w:szCs w:val="22"/>
            <w:lang w:eastAsia="en-US"/>
          </w:rPr>
          <w:tab/>
        </w:r>
        <w:r w:rsidR="00924FB5" w:rsidRPr="003506E5">
          <w:rPr>
            <w:rStyle w:val="Hyperlink"/>
            <w:noProof/>
          </w:rPr>
          <w:t>Empanelment of Hospitals in GB</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_Toc57215285 \h </w:instrText>
        </w:r>
        <w:r w:rsidR="00924FB5" w:rsidRPr="003506E5">
          <w:rPr>
            <w:noProof/>
            <w:webHidden/>
          </w:rPr>
        </w:r>
        <w:r w:rsidR="00924FB5" w:rsidRPr="003506E5">
          <w:rPr>
            <w:noProof/>
            <w:webHidden/>
          </w:rPr>
          <w:fldChar w:fldCharType="separate"/>
        </w:r>
        <w:r w:rsidR="00924FB5" w:rsidRPr="003506E5">
          <w:rPr>
            <w:noProof/>
            <w:webHidden/>
          </w:rPr>
          <w:t>27</w:t>
        </w:r>
        <w:r w:rsidR="00924FB5" w:rsidRPr="003506E5">
          <w:rPr>
            <w:noProof/>
            <w:webHidden/>
          </w:rPr>
          <w:fldChar w:fldCharType="end"/>
        </w:r>
      </w:hyperlink>
    </w:p>
    <w:p w14:paraId="770CB8C7" w14:textId="363FF6A2" w:rsidR="00924FB5" w:rsidRPr="003506E5" w:rsidRDefault="007049C3">
      <w:pPr>
        <w:pStyle w:val="TOC1"/>
        <w:tabs>
          <w:tab w:val="left" w:pos="440"/>
          <w:tab w:val="right" w:leader="dot" w:pos="9010"/>
        </w:tabs>
        <w:rPr>
          <w:rFonts w:asciiTheme="minorHAnsi" w:eastAsiaTheme="minorEastAsia" w:hAnsiTheme="minorHAnsi" w:cstheme="minorBidi"/>
          <w:b w:val="0"/>
          <w:bCs w:val="0"/>
          <w:caps w:val="0"/>
          <w:noProof/>
          <w:sz w:val="22"/>
          <w:szCs w:val="22"/>
          <w:lang w:eastAsia="en-US"/>
        </w:rPr>
      </w:pPr>
      <w:hyperlink w:anchor="_Toc57215286" w:history="1">
        <w:r w:rsidR="00924FB5" w:rsidRPr="003506E5">
          <w:rPr>
            <w:rStyle w:val="Hyperlink"/>
            <w:noProof/>
          </w:rPr>
          <w:t>8</w:t>
        </w:r>
        <w:r w:rsidR="00924FB5" w:rsidRPr="003506E5">
          <w:rPr>
            <w:rFonts w:asciiTheme="minorHAnsi" w:eastAsiaTheme="minorEastAsia" w:hAnsiTheme="minorHAnsi" w:cstheme="minorBidi"/>
            <w:b w:val="0"/>
            <w:bCs w:val="0"/>
            <w:caps w:val="0"/>
            <w:noProof/>
            <w:sz w:val="22"/>
            <w:szCs w:val="22"/>
            <w:lang w:eastAsia="en-US"/>
          </w:rPr>
          <w:tab/>
        </w:r>
        <w:r w:rsidR="00924FB5" w:rsidRPr="003506E5">
          <w:rPr>
            <w:rStyle w:val="Hyperlink"/>
            <w:noProof/>
          </w:rPr>
          <w:t>Utilisation of Services in GB</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_Toc57215286 \h </w:instrText>
        </w:r>
        <w:r w:rsidR="00924FB5" w:rsidRPr="003506E5">
          <w:rPr>
            <w:noProof/>
            <w:webHidden/>
          </w:rPr>
        </w:r>
        <w:r w:rsidR="00924FB5" w:rsidRPr="003506E5">
          <w:rPr>
            <w:noProof/>
            <w:webHidden/>
          </w:rPr>
          <w:fldChar w:fldCharType="separate"/>
        </w:r>
        <w:r w:rsidR="00924FB5" w:rsidRPr="003506E5">
          <w:rPr>
            <w:noProof/>
            <w:webHidden/>
          </w:rPr>
          <w:t>28</w:t>
        </w:r>
        <w:r w:rsidR="00924FB5" w:rsidRPr="003506E5">
          <w:rPr>
            <w:noProof/>
            <w:webHidden/>
          </w:rPr>
          <w:fldChar w:fldCharType="end"/>
        </w:r>
      </w:hyperlink>
    </w:p>
    <w:p w14:paraId="3E199238" w14:textId="1406A6AF" w:rsidR="00924FB5" w:rsidRPr="003506E5" w:rsidRDefault="007049C3">
      <w:pPr>
        <w:pStyle w:val="TOC2"/>
        <w:tabs>
          <w:tab w:val="left" w:pos="660"/>
          <w:tab w:val="right" w:leader="dot" w:pos="9010"/>
        </w:tabs>
        <w:rPr>
          <w:rFonts w:eastAsiaTheme="minorEastAsia" w:cstheme="minorBidi"/>
          <w:b w:val="0"/>
          <w:bCs w:val="0"/>
          <w:noProof/>
          <w:sz w:val="22"/>
          <w:szCs w:val="22"/>
          <w:lang w:eastAsia="en-US"/>
        </w:rPr>
      </w:pPr>
      <w:hyperlink w:anchor="_Toc57215287" w:history="1">
        <w:r w:rsidR="00924FB5" w:rsidRPr="003506E5">
          <w:rPr>
            <w:rStyle w:val="Hyperlink"/>
            <w:noProof/>
          </w:rPr>
          <w:t>8.1</w:t>
        </w:r>
        <w:r w:rsidR="00924FB5" w:rsidRPr="003506E5">
          <w:rPr>
            <w:rFonts w:eastAsiaTheme="minorEastAsia" w:cstheme="minorBidi"/>
            <w:b w:val="0"/>
            <w:bCs w:val="0"/>
            <w:noProof/>
            <w:sz w:val="22"/>
            <w:szCs w:val="22"/>
            <w:lang w:eastAsia="en-US"/>
          </w:rPr>
          <w:tab/>
        </w:r>
        <w:r w:rsidR="00924FB5" w:rsidRPr="003506E5">
          <w:rPr>
            <w:rStyle w:val="Hyperlink"/>
            <w:noProof/>
          </w:rPr>
          <w:t>Admissions</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_Toc57215287 \h </w:instrText>
        </w:r>
        <w:r w:rsidR="00924FB5" w:rsidRPr="003506E5">
          <w:rPr>
            <w:noProof/>
            <w:webHidden/>
          </w:rPr>
        </w:r>
        <w:r w:rsidR="00924FB5" w:rsidRPr="003506E5">
          <w:rPr>
            <w:noProof/>
            <w:webHidden/>
          </w:rPr>
          <w:fldChar w:fldCharType="separate"/>
        </w:r>
        <w:r w:rsidR="00924FB5" w:rsidRPr="003506E5">
          <w:rPr>
            <w:noProof/>
            <w:webHidden/>
          </w:rPr>
          <w:t>28</w:t>
        </w:r>
        <w:r w:rsidR="00924FB5" w:rsidRPr="003506E5">
          <w:rPr>
            <w:noProof/>
            <w:webHidden/>
          </w:rPr>
          <w:fldChar w:fldCharType="end"/>
        </w:r>
      </w:hyperlink>
    </w:p>
    <w:p w14:paraId="760B45C8" w14:textId="22116312" w:rsidR="00924FB5" w:rsidRPr="003506E5" w:rsidRDefault="007049C3">
      <w:pPr>
        <w:pStyle w:val="TOC2"/>
        <w:tabs>
          <w:tab w:val="left" w:pos="660"/>
          <w:tab w:val="right" w:leader="dot" w:pos="9010"/>
        </w:tabs>
        <w:rPr>
          <w:rFonts w:eastAsiaTheme="minorEastAsia" w:cstheme="minorBidi"/>
          <w:b w:val="0"/>
          <w:bCs w:val="0"/>
          <w:noProof/>
          <w:sz w:val="22"/>
          <w:szCs w:val="22"/>
          <w:lang w:eastAsia="en-US"/>
        </w:rPr>
      </w:pPr>
      <w:hyperlink w:anchor="_Toc57215288" w:history="1">
        <w:r w:rsidR="00924FB5" w:rsidRPr="003506E5">
          <w:rPr>
            <w:rStyle w:val="Hyperlink"/>
            <w:noProof/>
          </w:rPr>
          <w:t>8.2</w:t>
        </w:r>
        <w:r w:rsidR="00924FB5" w:rsidRPr="003506E5">
          <w:rPr>
            <w:rFonts w:eastAsiaTheme="minorEastAsia" w:cstheme="minorBidi"/>
            <w:b w:val="0"/>
            <w:bCs w:val="0"/>
            <w:noProof/>
            <w:sz w:val="22"/>
            <w:szCs w:val="22"/>
            <w:lang w:eastAsia="en-US"/>
          </w:rPr>
          <w:tab/>
        </w:r>
        <w:r w:rsidR="00924FB5" w:rsidRPr="003506E5">
          <w:rPr>
            <w:rStyle w:val="Hyperlink"/>
            <w:noProof/>
          </w:rPr>
          <w:t>Quarterly Trend of Admissions</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_Toc57215288 \h </w:instrText>
        </w:r>
        <w:r w:rsidR="00924FB5" w:rsidRPr="003506E5">
          <w:rPr>
            <w:noProof/>
            <w:webHidden/>
          </w:rPr>
        </w:r>
        <w:r w:rsidR="00924FB5" w:rsidRPr="003506E5">
          <w:rPr>
            <w:noProof/>
            <w:webHidden/>
          </w:rPr>
          <w:fldChar w:fldCharType="separate"/>
        </w:r>
        <w:r w:rsidR="00924FB5" w:rsidRPr="003506E5">
          <w:rPr>
            <w:noProof/>
            <w:webHidden/>
          </w:rPr>
          <w:t>29</w:t>
        </w:r>
        <w:r w:rsidR="00924FB5" w:rsidRPr="003506E5">
          <w:rPr>
            <w:noProof/>
            <w:webHidden/>
          </w:rPr>
          <w:fldChar w:fldCharType="end"/>
        </w:r>
      </w:hyperlink>
    </w:p>
    <w:p w14:paraId="298108E3" w14:textId="118049E1" w:rsidR="00924FB5" w:rsidRPr="003506E5" w:rsidRDefault="007049C3">
      <w:pPr>
        <w:pStyle w:val="TOC2"/>
        <w:tabs>
          <w:tab w:val="left" w:pos="660"/>
          <w:tab w:val="right" w:leader="dot" w:pos="9010"/>
        </w:tabs>
        <w:rPr>
          <w:rFonts w:eastAsiaTheme="minorEastAsia" w:cstheme="minorBidi"/>
          <w:b w:val="0"/>
          <w:bCs w:val="0"/>
          <w:noProof/>
          <w:sz w:val="22"/>
          <w:szCs w:val="22"/>
          <w:lang w:eastAsia="en-US"/>
        </w:rPr>
      </w:pPr>
      <w:hyperlink w:anchor="_Toc57215289" w:history="1">
        <w:r w:rsidR="00924FB5" w:rsidRPr="003506E5">
          <w:rPr>
            <w:rStyle w:val="Hyperlink"/>
            <w:noProof/>
          </w:rPr>
          <w:t>8.3</w:t>
        </w:r>
        <w:r w:rsidR="00924FB5" w:rsidRPr="003506E5">
          <w:rPr>
            <w:rFonts w:eastAsiaTheme="minorEastAsia" w:cstheme="minorBidi"/>
            <w:b w:val="0"/>
            <w:bCs w:val="0"/>
            <w:noProof/>
            <w:sz w:val="22"/>
            <w:szCs w:val="22"/>
            <w:lang w:eastAsia="en-US"/>
          </w:rPr>
          <w:tab/>
        </w:r>
        <w:r w:rsidR="00924FB5" w:rsidRPr="003506E5">
          <w:rPr>
            <w:rStyle w:val="Hyperlink"/>
            <w:noProof/>
          </w:rPr>
          <w:t>Utilisation of Services by eligible population by Union Councils</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_Toc57215289 \h </w:instrText>
        </w:r>
        <w:r w:rsidR="00924FB5" w:rsidRPr="003506E5">
          <w:rPr>
            <w:noProof/>
            <w:webHidden/>
          </w:rPr>
        </w:r>
        <w:r w:rsidR="00924FB5" w:rsidRPr="003506E5">
          <w:rPr>
            <w:noProof/>
            <w:webHidden/>
          </w:rPr>
          <w:fldChar w:fldCharType="separate"/>
        </w:r>
        <w:r w:rsidR="00924FB5" w:rsidRPr="003506E5">
          <w:rPr>
            <w:noProof/>
            <w:webHidden/>
          </w:rPr>
          <w:t>31</w:t>
        </w:r>
        <w:r w:rsidR="00924FB5" w:rsidRPr="003506E5">
          <w:rPr>
            <w:noProof/>
            <w:webHidden/>
          </w:rPr>
          <w:fldChar w:fldCharType="end"/>
        </w:r>
      </w:hyperlink>
    </w:p>
    <w:p w14:paraId="563EB06C" w14:textId="72EE5551" w:rsidR="00924FB5" w:rsidRPr="003506E5" w:rsidRDefault="007049C3">
      <w:pPr>
        <w:pStyle w:val="TOC2"/>
        <w:tabs>
          <w:tab w:val="left" w:pos="660"/>
          <w:tab w:val="right" w:leader="dot" w:pos="9010"/>
        </w:tabs>
        <w:rPr>
          <w:rFonts w:eastAsiaTheme="minorEastAsia" w:cstheme="minorBidi"/>
          <w:b w:val="0"/>
          <w:bCs w:val="0"/>
          <w:noProof/>
          <w:sz w:val="22"/>
          <w:szCs w:val="22"/>
          <w:lang w:eastAsia="en-US"/>
        </w:rPr>
      </w:pPr>
      <w:hyperlink w:anchor="_Toc57215290" w:history="1">
        <w:r w:rsidR="00924FB5" w:rsidRPr="003506E5">
          <w:rPr>
            <w:rStyle w:val="Hyperlink"/>
            <w:noProof/>
          </w:rPr>
          <w:t>8.4</w:t>
        </w:r>
        <w:r w:rsidR="00924FB5" w:rsidRPr="003506E5">
          <w:rPr>
            <w:rFonts w:eastAsiaTheme="minorEastAsia" w:cstheme="minorBidi"/>
            <w:b w:val="0"/>
            <w:bCs w:val="0"/>
            <w:noProof/>
            <w:sz w:val="22"/>
            <w:szCs w:val="22"/>
            <w:lang w:eastAsia="en-US"/>
          </w:rPr>
          <w:tab/>
        </w:r>
        <w:r w:rsidR="00924FB5" w:rsidRPr="003506E5">
          <w:rPr>
            <w:rStyle w:val="Hyperlink"/>
            <w:noProof/>
          </w:rPr>
          <w:t>Hospitals visited by the Insured</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_Toc57215290 \h </w:instrText>
        </w:r>
        <w:r w:rsidR="00924FB5" w:rsidRPr="003506E5">
          <w:rPr>
            <w:noProof/>
            <w:webHidden/>
          </w:rPr>
        </w:r>
        <w:r w:rsidR="00924FB5" w:rsidRPr="003506E5">
          <w:rPr>
            <w:noProof/>
            <w:webHidden/>
          </w:rPr>
          <w:fldChar w:fldCharType="separate"/>
        </w:r>
        <w:r w:rsidR="00924FB5" w:rsidRPr="003506E5">
          <w:rPr>
            <w:noProof/>
            <w:webHidden/>
          </w:rPr>
          <w:t>32</w:t>
        </w:r>
        <w:r w:rsidR="00924FB5" w:rsidRPr="003506E5">
          <w:rPr>
            <w:noProof/>
            <w:webHidden/>
          </w:rPr>
          <w:fldChar w:fldCharType="end"/>
        </w:r>
      </w:hyperlink>
    </w:p>
    <w:p w14:paraId="3E0315C5" w14:textId="7ACA17AB" w:rsidR="00924FB5" w:rsidRPr="003506E5" w:rsidRDefault="007049C3">
      <w:pPr>
        <w:pStyle w:val="TOC2"/>
        <w:tabs>
          <w:tab w:val="left" w:pos="660"/>
          <w:tab w:val="right" w:leader="dot" w:pos="9010"/>
        </w:tabs>
        <w:rPr>
          <w:rFonts w:eastAsiaTheme="minorEastAsia" w:cstheme="minorBidi"/>
          <w:b w:val="0"/>
          <w:bCs w:val="0"/>
          <w:noProof/>
          <w:sz w:val="22"/>
          <w:szCs w:val="22"/>
          <w:lang w:eastAsia="en-US"/>
        </w:rPr>
      </w:pPr>
      <w:hyperlink w:anchor="_Toc57215291" w:history="1">
        <w:r w:rsidR="00924FB5" w:rsidRPr="003506E5">
          <w:rPr>
            <w:rStyle w:val="Hyperlink"/>
            <w:noProof/>
          </w:rPr>
          <w:t>8.5</w:t>
        </w:r>
        <w:r w:rsidR="00924FB5" w:rsidRPr="003506E5">
          <w:rPr>
            <w:rFonts w:eastAsiaTheme="minorEastAsia" w:cstheme="minorBidi"/>
            <w:b w:val="0"/>
            <w:bCs w:val="0"/>
            <w:noProof/>
            <w:sz w:val="22"/>
            <w:szCs w:val="22"/>
            <w:lang w:eastAsia="en-US"/>
          </w:rPr>
          <w:tab/>
        </w:r>
        <w:r w:rsidR="00924FB5" w:rsidRPr="003506E5">
          <w:rPr>
            <w:rStyle w:val="Hyperlink"/>
            <w:noProof/>
          </w:rPr>
          <w:t>Influence of COVID-19 pandemic on the scheme in Gilgit district</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_Toc57215291 \h </w:instrText>
        </w:r>
        <w:r w:rsidR="00924FB5" w:rsidRPr="003506E5">
          <w:rPr>
            <w:noProof/>
            <w:webHidden/>
          </w:rPr>
        </w:r>
        <w:r w:rsidR="00924FB5" w:rsidRPr="003506E5">
          <w:rPr>
            <w:noProof/>
            <w:webHidden/>
          </w:rPr>
          <w:fldChar w:fldCharType="separate"/>
        </w:r>
        <w:r w:rsidR="00924FB5" w:rsidRPr="003506E5">
          <w:rPr>
            <w:noProof/>
            <w:webHidden/>
          </w:rPr>
          <w:t>33</w:t>
        </w:r>
        <w:r w:rsidR="00924FB5" w:rsidRPr="003506E5">
          <w:rPr>
            <w:noProof/>
            <w:webHidden/>
          </w:rPr>
          <w:fldChar w:fldCharType="end"/>
        </w:r>
      </w:hyperlink>
    </w:p>
    <w:p w14:paraId="17670E0C" w14:textId="6B3E08CC" w:rsidR="00924FB5" w:rsidRPr="003506E5" w:rsidRDefault="007049C3">
      <w:pPr>
        <w:pStyle w:val="TOC2"/>
        <w:tabs>
          <w:tab w:val="left" w:pos="660"/>
          <w:tab w:val="right" w:leader="dot" w:pos="9010"/>
        </w:tabs>
        <w:rPr>
          <w:rFonts w:eastAsiaTheme="minorEastAsia" w:cstheme="minorBidi"/>
          <w:b w:val="0"/>
          <w:bCs w:val="0"/>
          <w:noProof/>
          <w:sz w:val="22"/>
          <w:szCs w:val="22"/>
          <w:lang w:eastAsia="en-US"/>
        </w:rPr>
      </w:pPr>
      <w:hyperlink w:anchor="_Toc57215292" w:history="1">
        <w:r w:rsidR="00924FB5" w:rsidRPr="003506E5">
          <w:rPr>
            <w:rStyle w:val="Hyperlink"/>
            <w:noProof/>
          </w:rPr>
          <w:t>8.6</w:t>
        </w:r>
        <w:r w:rsidR="00924FB5" w:rsidRPr="003506E5">
          <w:rPr>
            <w:rFonts w:eastAsiaTheme="minorEastAsia" w:cstheme="minorBidi"/>
            <w:b w:val="0"/>
            <w:bCs w:val="0"/>
            <w:noProof/>
            <w:sz w:val="22"/>
            <w:szCs w:val="22"/>
            <w:lang w:eastAsia="en-US"/>
          </w:rPr>
          <w:tab/>
        </w:r>
        <w:r w:rsidR="00924FB5" w:rsidRPr="003506E5">
          <w:rPr>
            <w:rStyle w:val="Hyperlink"/>
            <w:noProof/>
          </w:rPr>
          <w:t>Age and Gender Distribution by Eligible and Wider Enrolled</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_Toc57215292 \h </w:instrText>
        </w:r>
        <w:r w:rsidR="00924FB5" w:rsidRPr="003506E5">
          <w:rPr>
            <w:noProof/>
            <w:webHidden/>
          </w:rPr>
        </w:r>
        <w:r w:rsidR="00924FB5" w:rsidRPr="003506E5">
          <w:rPr>
            <w:noProof/>
            <w:webHidden/>
          </w:rPr>
          <w:fldChar w:fldCharType="separate"/>
        </w:r>
        <w:r w:rsidR="00924FB5" w:rsidRPr="003506E5">
          <w:rPr>
            <w:noProof/>
            <w:webHidden/>
          </w:rPr>
          <w:t>34</w:t>
        </w:r>
        <w:r w:rsidR="00924FB5" w:rsidRPr="003506E5">
          <w:rPr>
            <w:noProof/>
            <w:webHidden/>
          </w:rPr>
          <w:fldChar w:fldCharType="end"/>
        </w:r>
      </w:hyperlink>
    </w:p>
    <w:p w14:paraId="67928FEA" w14:textId="74C5BCEC" w:rsidR="00924FB5" w:rsidRPr="003506E5" w:rsidRDefault="007049C3">
      <w:pPr>
        <w:pStyle w:val="TOC2"/>
        <w:tabs>
          <w:tab w:val="left" w:pos="660"/>
          <w:tab w:val="right" w:leader="dot" w:pos="9010"/>
        </w:tabs>
        <w:rPr>
          <w:rFonts w:eastAsiaTheme="minorEastAsia" w:cstheme="minorBidi"/>
          <w:b w:val="0"/>
          <w:bCs w:val="0"/>
          <w:noProof/>
          <w:sz w:val="22"/>
          <w:szCs w:val="22"/>
          <w:lang w:eastAsia="en-US"/>
        </w:rPr>
      </w:pPr>
      <w:hyperlink w:anchor="_Toc57215293" w:history="1">
        <w:r w:rsidR="00924FB5" w:rsidRPr="003506E5">
          <w:rPr>
            <w:rStyle w:val="Hyperlink"/>
            <w:noProof/>
          </w:rPr>
          <w:t>8.7</w:t>
        </w:r>
        <w:r w:rsidR="00924FB5" w:rsidRPr="003506E5">
          <w:rPr>
            <w:rFonts w:eastAsiaTheme="minorEastAsia" w:cstheme="minorBidi"/>
            <w:b w:val="0"/>
            <w:bCs w:val="0"/>
            <w:noProof/>
            <w:sz w:val="22"/>
            <w:szCs w:val="22"/>
            <w:lang w:eastAsia="en-US"/>
          </w:rPr>
          <w:tab/>
        </w:r>
        <w:r w:rsidR="00924FB5" w:rsidRPr="003506E5">
          <w:rPr>
            <w:rStyle w:val="Hyperlink"/>
            <w:noProof/>
          </w:rPr>
          <w:t>Readmission cases</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_Toc57215293 \h </w:instrText>
        </w:r>
        <w:r w:rsidR="00924FB5" w:rsidRPr="003506E5">
          <w:rPr>
            <w:noProof/>
            <w:webHidden/>
          </w:rPr>
        </w:r>
        <w:r w:rsidR="00924FB5" w:rsidRPr="003506E5">
          <w:rPr>
            <w:noProof/>
            <w:webHidden/>
          </w:rPr>
          <w:fldChar w:fldCharType="separate"/>
        </w:r>
        <w:r w:rsidR="00924FB5" w:rsidRPr="003506E5">
          <w:rPr>
            <w:noProof/>
            <w:webHidden/>
          </w:rPr>
          <w:t>35</w:t>
        </w:r>
        <w:r w:rsidR="00924FB5" w:rsidRPr="003506E5">
          <w:rPr>
            <w:noProof/>
            <w:webHidden/>
          </w:rPr>
          <w:fldChar w:fldCharType="end"/>
        </w:r>
      </w:hyperlink>
    </w:p>
    <w:p w14:paraId="7CA7EEA1" w14:textId="726148D1" w:rsidR="00924FB5" w:rsidRPr="003506E5" w:rsidRDefault="007049C3">
      <w:pPr>
        <w:pStyle w:val="TOC2"/>
        <w:tabs>
          <w:tab w:val="left" w:pos="660"/>
          <w:tab w:val="right" w:leader="dot" w:pos="9010"/>
        </w:tabs>
        <w:rPr>
          <w:rFonts w:eastAsiaTheme="minorEastAsia" w:cstheme="minorBidi"/>
          <w:b w:val="0"/>
          <w:bCs w:val="0"/>
          <w:noProof/>
          <w:sz w:val="22"/>
          <w:szCs w:val="22"/>
          <w:lang w:eastAsia="en-US"/>
        </w:rPr>
      </w:pPr>
      <w:hyperlink w:anchor="_Toc57215294" w:history="1">
        <w:r w:rsidR="00924FB5" w:rsidRPr="003506E5">
          <w:rPr>
            <w:rStyle w:val="Hyperlink"/>
            <w:noProof/>
          </w:rPr>
          <w:t>8.8</w:t>
        </w:r>
        <w:r w:rsidR="00924FB5" w:rsidRPr="003506E5">
          <w:rPr>
            <w:rFonts w:eastAsiaTheme="minorEastAsia" w:cstheme="minorBidi"/>
            <w:b w:val="0"/>
            <w:bCs w:val="0"/>
            <w:noProof/>
            <w:sz w:val="22"/>
            <w:szCs w:val="22"/>
            <w:lang w:eastAsia="en-US"/>
          </w:rPr>
          <w:tab/>
        </w:r>
        <w:r w:rsidR="00924FB5" w:rsidRPr="003506E5">
          <w:rPr>
            <w:rStyle w:val="Hyperlink"/>
            <w:noProof/>
          </w:rPr>
          <w:t>Length of Stay</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_Toc57215294 \h </w:instrText>
        </w:r>
        <w:r w:rsidR="00924FB5" w:rsidRPr="003506E5">
          <w:rPr>
            <w:noProof/>
            <w:webHidden/>
          </w:rPr>
        </w:r>
        <w:r w:rsidR="00924FB5" w:rsidRPr="003506E5">
          <w:rPr>
            <w:noProof/>
            <w:webHidden/>
          </w:rPr>
          <w:fldChar w:fldCharType="separate"/>
        </w:r>
        <w:r w:rsidR="00924FB5" w:rsidRPr="003506E5">
          <w:rPr>
            <w:noProof/>
            <w:webHidden/>
          </w:rPr>
          <w:t>35</w:t>
        </w:r>
        <w:r w:rsidR="00924FB5" w:rsidRPr="003506E5">
          <w:rPr>
            <w:noProof/>
            <w:webHidden/>
          </w:rPr>
          <w:fldChar w:fldCharType="end"/>
        </w:r>
      </w:hyperlink>
    </w:p>
    <w:p w14:paraId="517A8289" w14:textId="554A92DD" w:rsidR="00924FB5" w:rsidRPr="003506E5" w:rsidRDefault="007049C3">
      <w:pPr>
        <w:pStyle w:val="TOC1"/>
        <w:tabs>
          <w:tab w:val="left" w:pos="440"/>
          <w:tab w:val="right" w:leader="dot" w:pos="9010"/>
        </w:tabs>
        <w:rPr>
          <w:rFonts w:asciiTheme="minorHAnsi" w:eastAsiaTheme="minorEastAsia" w:hAnsiTheme="minorHAnsi" w:cstheme="minorBidi"/>
          <w:b w:val="0"/>
          <w:bCs w:val="0"/>
          <w:caps w:val="0"/>
          <w:noProof/>
          <w:sz w:val="22"/>
          <w:szCs w:val="22"/>
          <w:lang w:eastAsia="en-US"/>
        </w:rPr>
      </w:pPr>
      <w:hyperlink w:anchor="_Toc57215295" w:history="1">
        <w:r w:rsidR="00924FB5" w:rsidRPr="003506E5">
          <w:rPr>
            <w:rStyle w:val="Hyperlink"/>
            <w:noProof/>
          </w:rPr>
          <w:t>9</w:t>
        </w:r>
        <w:r w:rsidR="00924FB5" w:rsidRPr="003506E5">
          <w:rPr>
            <w:rFonts w:asciiTheme="minorHAnsi" w:eastAsiaTheme="minorEastAsia" w:hAnsiTheme="minorHAnsi" w:cstheme="minorBidi"/>
            <w:b w:val="0"/>
            <w:bCs w:val="0"/>
            <w:caps w:val="0"/>
            <w:noProof/>
            <w:sz w:val="22"/>
            <w:szCs w:val="22"/>
            <w:lang w:eastAsia="en-US"/>
          </w:rPr>
          <w:tab/>
        </w:r>
        <w:r w:rsidR="00924FB5" w:rsidRPr="003506E5">
          <w:rPr>
            <w:rStyle w:val="Hyperlink"/>
            <w:noProof/>
          </w:rPr>
          <w:t>Premiums and Costs in GB</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_Toc57215295 \h </w:instrText>
        </w:r>
        <w:r w:rsidR="00924FB5" w:rsidRPr="003506E5">
          <w:rPr>
            <w:noProof/>
            <w:webHidden/>
          </w:rPr>
        </w:r>
        <w:r w:rsidR="00924FB5" w:rsidRPr="003506E5">
          <w:rPr>
            <w:noProof/>
            <w:webHidden/>
          </w:rPr>
          <w:fldChar w:fldCharType="separate"/>
        </w:r>
        <w:r w:rsidR="00924FB5" w:rsidRPr="003506E5">
          <w:rPr>
            <w:noProof/>
            <w:webHidden/>
          </w:rPr>
          <w:t>37</w:t>
        </w:r>
        <w:r w:rsidR="00924FB5" w:rsidRPr="003506E5">
          <w:rPr>
            <w:noProof/>
            <w:webHidden/>
          </w:rPr>
          <w:fldChar w:fldCharType="end"/>
        </w:r>
      </w:hyperlink>
    </w:p>
    <w:p w14:paraId="63EE98E9" w14:textId="28ECCEA7" w:rsidR="00924FB5" w:rsidRPr="003506E5" w:rsidRDefault="007049C3">
      <w:pPr>
        <w:pStyle w:val="TOC1"/>
        <w:tabs>
          <w:tab w:val="left" w:pos="440"/>
          <w:tab w:val="right" w:leader="dot" w:pos="9010"/>
        </w:tabs>
        <w:rPr>
          <w:rFonts w:asciiTheme="minorHAnsi" w:eastAsiaTheme="minorEastAsia" w:hAnsiTheme="minorHAnsi" w:cstheme="minorBidi"/>
          <w:b w:val="0"/>
          <w:bCs w:val="0"/>
          <w:caps w:val="0"/>
          <w:noProof/>
          <w:sz w:val="22"/>
          <w:szCs w:val="22"/>
          <w:lang w:eastAsia="en-US"/>
        </w:rPr>
      </w:pPr>
      <w:hyperlink w:anchor="_Toc57215296" w:history="1">
        <w:r w:rsidR="00924FB5" w:rsidRPr="003506E5">
          <w:rPr>
            <w:rStyle w:val="Hyperlink"/>
            <w:noProof/>
          </w:rPr>
          <w:t>10</w:t>
        </w:r>
        <w:r w:rsidR="00924FB5" w:rsidRPr="003506E5">
          <w:rPr>
            <w:rFonts w:asciiTheme="minorHAnsi" w:eastAsiaTheme="minorEastAsia" w:hAnsiTheme="minorHAnsi" w:cstheme="minorBidi"/>
            <w:b w:val="0"/>
            <w:bCs w:val="0"/>
            <w:caps w:val="0"/>
            <w:noProof/>
            <w:sz w:val="22"/>
            <w:szCs w:val="22"/>
            <w:lang w:eastAsia="en-US"/>
          </w:rPr>
          <w:tab/>
        </w:r>
        <w:r w:rsidR="00924FB5" w:rsidRPr="003506E5">
          <w:rPr>
            <w:rStyle w:val="Hyperlink"/>
            <w:noProof/>
          </w:rPr>
          <w:t>Other Matters within the SHPI Phase I Project</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_Toc57215296 \h </w:instrText>
        </w:r>
        <w:r w:rsidR="00924FB5" w:rsidRPr="003506E5">
          <w:rPr>
            <w:noProof/>
            <w:webHidden/>
          </w:rPr>
        </w:r>
        <w:r w:rsidR="00924FB5" w:rsidRPr="003506E5">
          <w:rPr>
            <w:noProof/>
            <w:webHidden/>
          </w:rPr>
          <w:fldChar w:fldCharType="separate"/>
        </w:r>
        <w:r w:rsidR="00924FB5" w:rsidRPr="003506E5">
          <w:rPr>
            <w:noProof/>
            <w:webHidden/>
          </w:rPr>
          <w:t>39</w:t>
        </w:r>
        <w:r w:rsidR="00924FB5" w:rsidRPr="003506E5">
          <w:rPr>
            <w:noProof/>
            <w:webHidden/>
          </w:rPr>
          <w:fldChar w:fldCharType="end"/>
        </w:r>
      </w:hyperlink>
    </w:p>
    <w:p w14:paraId="536D0600" w14:textId="62894794" w:rsidR="00924FB5" w:rsidRPr="003506E5" w:rsidRDefault="007049C3">
      <w:pPr>
        <w:pStyle w:val="TOC2"/>
        <w:tabs>
          <w:tab w:val="left" w:pos="660"/>
          <w:tab w:val="right" w:leader="dot" w:pos="9010"/>
        </w:tabs>
        <w:rPr>
          <w:rFonts w:eastAsiaTheme="minorEastAsia" w:cstheme="minorBidi"/>
          <w:b w:val="0"/>
          <w:bCs w:val="0"/>
          <w:noProof/>
          <w:sz w:val="22"/>
          <w:szCs w:val="22"/>
          <w:lang w:eastAsia="en-US"/>
        </w:rPr>
      </w:pPr>
      <w:hyperlink w:anchor="_Toc57215297" w:history="1">
        <w:r w:rsidR="00924FB5" w:rsidRPr="003506E5">
          <w:rPr>
            <w:rStyle w:val="Hyperlink"/>
            <w:noProof/>
          </w:rPr>
          <w:t>10.1</w:t>
        </w:r>
        <w:r w:rsidR="00924FB5" w:rsidRPr="003506E5">
          <w:rPr>
            <w:rFonts w:eastAsiaTheme="minorEastAsia" w:cstheme="minorBidi"/>
            <w:b w:val="0"/>
            <w:bCs w:val="0"/>
            <w:noProof/>
            <w:sz w:val="22"/>
            <w:szCs w:val="22"/>
            <w:lang w:eastAsia="en-US"/>
          </w:rPr>
          <w:tab/>
        </w:r>
        <w:r w:rsidR="00924FB5" w:rsidRPr="003506E5">
          <w:rPr>
            <w:rStyle w:val="Hyperlink"/>
            <w:noProof/>
          </w:rPr>
          <w:t>Gilgit Baltistan</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_Toc57215297 \h </w:instrText>
        </w:r>
        <w:r w:rsidR="00924FB5" w:rsidRPr="003506E5">
          <w:rPr>
            <w:noProof/>
            <w:webHidden/>
          </w:rPr>
        </w:r>
        <w:r w:rsidR="00924FB5" w:rsidRPr="003506E5">
          <w:rPr>
            <w:noProof/>
            <w:webHidden/>
          </w:rPr>
          <w:fldChar w:fldCharType="separate"/>
        </w:r>
        <w:r w:rsidR="00924FB5" w:rsidRPr="003506E5">
          <w:rPr>
            <w:noProof/>
            <w:webHidden/>
          </w:rPr>
          <w:t>39</w:t>
        </w:r>
        <w:r w:rsidR="00924FB5" w:rsidRPr="003506E5">
          <w:rPr>
            <w:noProof/>
            <w:webHidden/>
          </w:rPr>
          <w:fldChar w:fldCharType="end"/>
        </w:r>
      </w:hyperlink>
    </w:p>
    <w:p w14:paraId="188C024C" w14:textId="37B26823" w:rsidR="00924FB5" w:rsidRPr="003506E5" w:rsidRDefault="007049C3">
      <w:pPr>
        <w:pStyle w:val="TOC3"/>
        <w:tabs>
          <w:tab w:val="left" w:pos="1100"/>
          <w:tab w:val="right" w:leader="dot" w:pos="9010"/>
        </w:tabs>
        <w:rPr>
          <w:rFonts w:eastAsiaTheme="minorEastAsia" w:cstheme="minorBidi"/>
          <w:noProof/>
          <w:sz w:val="22"/>
          <w:szCs w:val="22"/>
          <w:lang w:eastAsia="en-US"/>
        </w:rPr>
      </w:pPr>
      <w:hyperlink w:anchor="_Toc57215298" w:history="1">
        <w:r w:rsidR="00924FB5" w:rsidRPr="003506E5">
          <w:rPr>
            <w:rStyle w:val="Hyperlink"/>
            <w:noProof/>
          </w:rPr>
          <w:t>10.1.1</w:t>
        </w:r>
        <w:r w:rsidR="00924FB5" w:rsidRPr="003506E5">
          <w:rPr>
            <w:rFonts w:eastAsiaTheme="minorEastAsia" w:cstheme="minorBidi"/>
            <w:noProof/>
            <w:sz w:val="22"/>
            <w:szCs w:val="22"/>
            <w:lang w:eastAsia="en-US"/>
          </w:rPr>
          <w:tab/>
        </w:r>
        <w:r w:rsidR="00924FB5" w:rsidRPr="003506E5">
          <w:rPr>
            <w:rStyle w:val="Hyperlink"/>
            <w:noProof/>
          </w:rPr>
          <w:t>Cards Distribution</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_Toc57215298 \h </w:instrText>
        </w:r>
        <w:r w:rsidR="00924FB5" w:rsidRPr="003506E5">
          <w:rPr>
            <w:noProof/>
            <w:webHidden/>
          </w:rPr>
        </w:r>
        <w:r w:rsidR="00924FB5" w:rsidRPr="003506E5">
          <w:rPr>
            <w:noProof/>
            <w:webHidden/>
          </w:rPr>
          <w:fldChar w:fldCharType="separate"/>
        </w:r>
        <w:r w:rsidR="00924FB5" w:rsidRPr="003506E5">
          <w:rPr>
            <w:noProof/>
            <w:webHidden/>
          </w:rPr>
          <w:t>39</w:t>
        </w:r>
        <w:r w:rsidR="00924FB5" w:rsidRPr="003506E5">
          <w:rPr>
            <w:noProof/>
            <w:webHidden/>
          </w:rPr>
          <w:fldChar w:fldCharType="end"/>
        </w:r>
      </w:hyperlink>
    </w:p>
    <w:p w14:paraId="4E40DE59" w14:textId="6C5429E8" w:rsidR="00924FB5" w:rsidRPr="003506E5" w:rsidRDefault="007049C3">
      <w:pPr>
        <w:pStyle w:val="TOC2"/>
        <w:tabs>
          <w:tab w:val="left" w:pos="660"/>
          <w:tab w:val="right" w:leader="dot" w:pos="9010"/>
        </w:tabs>
        <w:rPr>
          <w:rFonts w:eastAsiaTheme="minorEastAsia" w:cstheme="minorBidi"/>
          <w:b w:val="0"/>
          <w:bCs w:val="0"/>
          <w:noProof/>
          <w:sz w:val="22"/>
          <w:szCs w:val="22"/>
          <w:lang w:eastAsia="en-US"/>
        </w:rPr>
      </w:pPr>
      <w:hyperlink w:anchor="_Toc57215299" w:history="1">
        <w:r w:rsidR="00924FB5" w:rsidRPr="003506E5">
          <w:rPr>
            <w:rStyle w:val="Hyperlink"/>
            <w:noProof/>
          </w:rPr>
          <w:t>10.2</w:t>
        </w:r>
        <w:r w:rsidR="00924FB5" w:rsidRPr="003506E5">
          <w:rPr>
            <w:rFonts w:eastAsiaTheme="minorEastAsia" w:cstheme="minorBidi"/>
            <w:b w:val="0"/>
            <w:bCs w:val="0"/>
            <w:noProof/>
            <w:sz w:val="22"/>
            <w:szCs w:val="22"/>
            <w:lang w:eastAsia="en-US"/>
          </w:rPr>
          <w:tab/>
        </w:r>
        <w:r w:rsidR="00924FB5" w:rsidRPr="003506E5">
          <w:rPr>
            <w:rStyle w:val="Hyperlink"/>
            <w:noProof/>
          </w:rPr>
          <w:t>Key Activities – July to December 2020</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_Toc57215299 \h </w:instrText>
        </w:r>
        <w:r w:rsidR="00924FB5" w:rsidRPr="003506E5">
          <w:rPr>
            <w:noProof/>
            <w:webHidden/>
          </w:rPr>
        </w:r>
        <w:r w:rsidR="00924FB5" w:rsidRPr="003506E5">
          <w:rPr>
            <w:noProof/>
            <w:webHidden/>
          </w:rPr>
          <w:fldChar w:fldCharType="separate"/>
        </w:r>
        <w:r w:rsidR="00924FB5" w:rsidRPr="003506E5">
          <w:rPr>
            <w:noProof/>
            <w:webHidden/>
          </w:rPr>
          <w:t>40</w:t>
        </w:r>
        <w:r w:rsidR="00924FB5" w:rsidRPr="003506E5">
          <w:rPr>
            <w:noProof/>
            <w:webHidden/>
          </w:rPr>
          <w:fldChar w:fldCharType="end"/>
        </w:r>
      </w:hyperlink>
    </w:p>
    <w:p w14:paraId="299ED3C6" w14:textId="53041D40" w:rsidR="00924FB5" w:rsidRPr="003506E5" w:rsidRDefault="007049C3">
      <w:pPr>
        <w:pStyle w:val="TOC1"/>
        <w:tabs>
          <w:tab w:val="left" w:pos="440"/>
          <w:tab w:val="right" w:leader="dot" w:pos="9010"/>
        </w:tabs>
        <w:rPr>
          <w:rFonts w:asciiTheme="minorHAnsi" w:eastAsiaTheme="minorEastAsia" w:hAnsiTheme="minorHAnsi" w:cstheme="minorBidi"/>
          <w:b w:val="0"/>
          <w:bCs w:val="0"/>
          <w:caps w:val="0"/>
          <w:noProof/>
          <w:sz w:val="22"/>
          <w:szCs w:val="22"/>
          <w:lang w:eastAsia="en-US"/>
        </w:rPr>
      </w:pPr>
      <w:hyperlink w:anchor="_Toc57215300" w:history="1">
        <w:r w:rsidR="00924FB5" w:rsidRPr="003506E5">
          <w:rPr>
            <w:rStyle w:val="Hyperlink"/>
            <w:noProof/>
          </w:rPr>
          <w:t>11</w:t>
        </w:r>
        <w:r w:rsidR="00924FB5" w:rsidRPr="003506E5">
          <w:rPr>
            <w:rFonts w:asciiTheme="minorHAnsi" w:eastAsiaTheme="minorEastAsia" w:hAnsiTheme="minorHAnsi" w:cstheme="minorBidi"/>
            <w:b w:val="0"/>
            <w:bCs w:val="0"/>
            <w:caps w:val="0"/>
            <w:noProof/>
            <w:sz w:val="22"/>
            <w:szCs w:val="22"/>
            <w:lang w:eastAsia="en-US"/>
          </w:rPr>
          <w:tab/>
        </w:r>
        <w:r w:rsidR="00924FB5" w:rsidRPr="003506E5">
          <w:rPr>
            <w:rStyle w:val="Hyperlink"/>
            <w:noProof/>
          </w:rPr>
          <w:t>Conclusions</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_Toc57215300 \h </w:instrText>
        </w:r>
        <w:r w:rsidR="00924FB5" w:rsidRPr="003506E5">
          <w:rPr>
            <w:noProof/>
            <w:webHidden/>
          </w:rPr>
        </w:r>
        <w:r w:rsidR="00924FB5" w:rsidRPr="003506E5">
          <w:rPr>
            <w:noProof/>
            <w:webHidden/>
          </w:rPr>
          <w:fldChar w:fldCharType="separate"/>
        </w:r>
        <w:r w:rsidR="00924FB5" w:rsidRPr="003506E5">
          <w:rPr>
            <w:noProof/>
            <w:webHidden/>
          </w:rPr>
          <w:t>41</w:t>
        </w:r>
        <w:r w:rsidR="00924FB5" w:rsidRPr="003506E5">
          <w:rPr>
            <w:noProof/>
            <w:webHidden/>
          </w:rPr>
          <w:fldChar w:fldCharType="end"/>
        </w:r>
      </w:hyperlink>
    </w:p>
    <w:p w14:paraId="4D2F2BCB" w14:textId="3340F510" w:rsidR="00924FB5" w:rsidRPr="003506E5" w:rsidRDefault="007049C3">
      <w:pPr>
        <w:pStyle w:val="TOC1"/>
        <w:tabs>
          <w:tab w:val="left" w:pos="440"/>
          <w:tab w:val="right" w:leader="dot" w:pos="9010"/>
        </w:tabs>
        <w:rPr>
          <w:rFonts w:asciiTheme="minorHAnsi" w:eastAsiaTheme="minorEastAsia" w:hAnsiTheme="minorHAnsi" w:cstheme="minorBidi"/>
          <w:b w:val="0"/>
          <w:bCs w:val="0"/>
          <w:caps w:val="0"/>
          <w:noProof/>
          <w:sz w:val="22"/>
          <w:szCs w:val="22"/>
          <w:lang w:eastAsia="en-US"/>
        </w:rPr>
      </w:pPr>
      <w:hyperlink w:anchor="_Toc57215301" w:history="1">
        <w:r w:rsidR="00924FB5" w:rsidRPr="003506E5">
          <w:rPr>
            <w:rStyle w:val="Hyperlink"/>
            <w:noProof/>
          </w:rPr>
          <w:t>12</w:t>
        </w:r>
        <w:r w:rsidR="00924FB5" w:rsidRPr="003506E5">
          <w:rPr>
            <w:rFonts w:asciiTheme="minorHAnsi" w:eastAsiaTheme="minorEastAsia" w:hAnsiTheme="minorHAnsi" w:cstheme="minorBidi"/>
            <w:b w:val="0"/>
            <w:bCs w:val="0"/>
            <w:caps w:val="0"/>
            <w:noProof/>
            <w:sz w:val="22"/>
            <w:szCs w:val="22"/>
            <w:lang w:eastAsia="en-US"/>
          </w:rPr>
          <w:tab/>
        </w:r>
        <w:r w:rsidR="00924FB5" w:rsidRPr="003506E5">
          <w:rPr>
            <w:rStyle w:val="Hyperlink"/>
            <w:noProof/>
          </w:rPr>
          <w:t>Recommendations</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_Toc57215301 \h </w:instrText>
        </w:r>
        <w:r w:rsidR="00924FB5" w:rsidRPr="003506E5">
          <w:rPr>
            <w:noProof/>
            <w:webHidden/>
          </w:rPr>
        </w:r>
        <w:r w:rsidR="00924FB5" w:rsidRPr="003506E5">
          <w:rPr>
            <w:noProof/>
            <w:webHidden/>
          </w:rPr>
          <w:fldChar w:fldCharType="separate"/>
        </w:r>
        <w:r w:rsidR="00924FB5" w:rsidRPr="003506E5">
          <w:rPr>
            <w:noProof/>
            <w:webHidden/>
          </w:rPr>
          <w:t>42</w:t>
        </w:r>
        <w:r w:rsidR="00924FB5" w:rsidRPr="003506E5">
          <w:rPr>
            <w:noProof/>
            <w:webHidden/>
          </w:rPr>
          <w:fldChar w:fldCharType="end"/>
        </w:r>
      </w:hyperlink>
    </w:p>
    <w:p w14:paraId="6CBAE297" w14:textId="1A93C4EE" w:rsidR="00DF7F2D" w:rsidRPr="003506E5" w:rsidRDefault="00B76041" w:rsidP="00846A29">
      <w:pPr>
        <w:pStyle w:val="Prelim"/>
        <w:rPr>
          <w:rFonts w:asciiTheme="majorHAnsi" w:hAnsiTheme="majorHAnsi" w:cstheme="majorHAnsi"/>
          <w:color w:val="auto"/>
          <w:sz w:val="20"/>
        </w:rPr>
      </w:pPr>
      <w:r w:rsidRPr="003506E5">
        <w:rPr>
          <w:rFonts w:asciiTheme="majorHAnsi" w:hAnsiTheme="majorHAnsi" w:cstheme="majorHAnsi"/>
          <w:color w:val="auto"/>
          <w:sz w:val="20"/>
        </w:rPr>
        <w:fldChar w:fldCharType="end"/>
      </w:r>
    </w:p>
    <w:p w14:paraId="5893A64D" w14:textId="77777777" w:rsidR="00DF7F2D" w:rsidRPr="003506E5" w:rsidRDefault="00DF7F2D" w:rsidP="00846A29">
      <w:pPr>
        <w:pStyle w:val="Prelim"/>
      </w:pPr>
      <w:r w:rsidRPr="003506E5">
        <w:t xml:space="preserve">List of Tables </w:t>
      </w:r>
    </w:p>
    <w:p w14:paraId="5B497FEE" w14:textId="53ABFD0A" w:rsidR="00924FB5" w:rsidRPr="003506E5" w:rsidRDefault="00B76041">
      <w:pPr>
        <w:pStyle w:val="TableofFigures"/>
        <w:tabs>
          <w:tab w:val="right" w:leader="dot" w:pos="9010"/>
        </w:tabs>
        <w:rPr>
          <w:rFonts w:asciiTheme="minorHAnsi" w:eastAsiaTheme="minorEastAsia" w:hAnsiTheme="minorHAnsi" w:cstheme="minorBidi"/>
          <w:noProof/>
          <w:lang w:eastAsia="en-US"/>
        </w:rPr>
      </w:pPr>
      <w:r w:rsidRPr="003506E5">
        <w:fldChar w:fldCharType="begin"/>
      </w:r>
      <w:r w:rsidR="00DF7F2D" w:rsidRPr="003506E5">
        <w:instrText xml:space="preserve"> TOC \h \z \c "Table" </w:instrText>
      </w:r>
      <w:r w:rsidRPr="003506E5">
        <w:fldChar w:fldCharType="separate"/>
      </w:r>
      <w:hyperlink w:anchor="_Toc57215220" w:history="1">
        <w:r w:rsidR="00924FB5" w:rsidRPr="003506E5">
          <w:rPr>
            <w:rStyle w:val="Hyperlink"/>
            <w:noProof/>
          </w:rPr>
          <w:t>Table 1: Corona Virus Cases in Pakistan</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_Toc57215220 \h </w:instrText>
        </w:r>
        <w:r w:rsidR="00924FB5" w:rsidRPr="003506E5">
          <w:rPr>
            <w:noProof/>
            <w:webHidden/>
          </w:rPr>
        </w:r>
        <w:r w:rsidR="00924FB5" w:rsidRPr="003506E5">
          <w:rPr>
            <w:noProof/>
            <w:webHidden/>
          </w:rPr>
          <w:fldChar w:fldCharType="separate"/>
        </w:r>
        <w:r w:rsidR="00924FB5" w:rsidRPr="003506E5">
          <w:rPr>
            <w:noProof/>
            <w:webHidden/>
          </w:rPr>
          <w:t>11</w:t>
        </w:r>
        <w:r w:rsidR="00924FB5" w:rsidRPr="003506E5">
          <w:rPr>
            <w:noProof/>
            <w:webHidden/>
          </w:rPr>
          <w:fldChar w:fldCharType="end"/>
        </w:r>
      </w:hyperlink>
    </w:p>
    <w:p w14:paraId="2DBDB5C3" w14:textId="4399838B" w:rsidR="00924FB5" w:rsidRPr="003506E5" w:rsidRDefault="007049C3">
      <w:pPr>
        <w:pStyle w:val="TableofFigures"/>
        <w:tabs>
          <w:tab w:val="right" w:leader="dot" w:pos="9010"/>
        </w:tabs>
        <w:rPr>
          <w:rFonts w:asciiTheme="minorHAnsi" w:eastAsiaTheme="minorEastAsia" w:hAnsiTheme="minorHAnsi" w:cstheme="minorBidi"/>
          <w:noProof/>
          <w:lang w:eastAsia="en-US"/>
        </w:rPr>
      </w:pPr>
      <w:hyperlink w:anchor="_Toc57215221" w:history="1">
        <w:r w:rsidR="00924FB5" w:rsidRPr="003506E5">
          <w:rPr>
            <w:rStyle w:val="Hyperlink"/>
            <w:noProof/>
          </w:rPr>
          <w:t>Table 2: Financial Position of Disbursements in GB (in Euros)</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_Toc57215221 \h </w:instrText>
        </w:r>
        <w:r w:rsidR="00924FB5" w:rsidRPr="003506E5">
          <w:rPr>
            <w:noProof/>
            <w:webHidden/>
          </w:rPr>
        </w:r>
        <w:r w:rsidR="00924FB5" w:rsidRPr="003506E5">
          <w:rPr>
            <w:noProof/>
            <w:webHidden/>
          </w:rPr>
          <w:fldChar w:fldCharType="separate"/>
        </w:r>
        <w:r w:rsidR="00924FB5" w:rsidRPr="003506E5">
          <w:rPr>
            <w:noProof/>
            <w:webHidden/>
          </w:rPr>
          <w:t>15</w:t>
        </w:r>
        <w:r w:rsidR="00924FB5" w:rsidRPr="003506E5">
          <w:rPr>
            <w:noProof/>
            <w:webHidden/>
          </w:rPr>
          <w:fldChar w:fldCharType="end"/>
        </w:r>
      </w:hyperlink>
    </w:p>
    <w:p w14:paraId="61F2CDAF" w14:textId="22566AFD" w:rsidR="00924FB5" w:rsidRPr="003506E5" w:rsidRDefault="007049C3">
      <w:pPr>
        <w:pStyle w:val="TableofFigures"/>
        <w:tabs>
          <w:tab w:val="right" w:leader="dot" w:pos="9010"/>
        </w:tabs>
        <w:rPr>
          <w:rFonts w:asciiTheme="minorHAnsi" w:eastAsiaTheme="minorEastAsia" w:hAnsiTheme="minorHAnsi" w:cstheme="minorBidi"/>
          <w:noProof/>
          <w:lang w:eastAsia="en-US"/>
        </w:rPr>
      </w:pPr>
      <w:hyperlink w:anchor="_Toc57215222" w:history="1">
        <w:r w:rsidR="00924FB5" w:rsidRPr="003506E5">
          <w:rPr>
            <w:rStyle w:val="Hyperlink"/>
            <w:noProof/>
          </w:rPr>
          <w:t>Table 3: Key Features of different insurance schemes (in PKR)</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_Toc57215222 \h </w:instrText>
        </w:r>
        <w:r w:rsidR="00924FB5" w:rsidRPr="003506E5">
          <w:rPr>
            <w:noProof/>
            <w:webHidden/>
          </w:rPr>
        </w:r>
        <w:r w:rsidR="00924FB5" w:rsidRPr="003506E5">
          <w:rPr>
            <w:noProof/>
            <w:webHidden/>
          </w:rPr>
          <w:fldChar w:fldCharType="separate"/>
        </w:r>
        <w:r w:rsidR="00924FB5" w:rsidRPr="003506E5">
          <w:rPr>
            <w:noProof/>
            <w:webHidden/>
          </w:rPr>
          <w:t>18</w:t>
        </w:r>
        <w:r w:rsidR="00924FB5" w:rsidRPr="003506E5">
          <w:rPr>
            <w:noProof/>
            <w:webHidden/>
          </w:rPr>
          <w:fldChar w:fldCharType="end"/>
        </w:r>
      </w:hyperlink>
    </w:p>
    <w:p w14:paraId="3AC9963B" w14:textId="3CB9DD95" w:rsidR="00924FB5" w:rsidRPr="003506E5" w:rsidRDefault="007049C3">
      <w:pPr>
        <w:pStyle w:val="TableofFigures"/>
        <w:tabs>
          <w:tab w:val="right" w:leader="dot" w:pos="9010"/>
        </w:tabs>
        <w:rPr>
          <w:rFonts w:asciiTheme="minorHAnsi" w:eastAsiaTheme="minorEastAsia" w:hAnsiTheme="minorHAnsi" w:cstheme="minorBidi"/>
          <w:noProof/>
          <w:lang w:eastAsia="en-US"/>
        </w:rPr>
      </w:pPr>
      <w:hyperlink w:anchor="_Toc57215223" w:history="1">
        <w:r w:rsidR="00924FB5" w:rsidRPr="003506E5">
          <w:rPr>
            <w:rStyle w:val="Hyperlink"/>
            <w:noProof/>
          </w:rPr>
          <w:t>Table 4: Updated Enrolment Status of Sehat Sahulat Programme in GB</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_Toc57215223 \h </w:instrText>
        </w:r>
        <w:r w:rsidR="00924FB5" w:rsidRPr="003506E5">
          <w:rPr>
            <w:noProof/>
            <w:webHidden/>
          </w:rPr>
        </w:r>
        <w:r w:rsidR="00924FB5" w:rsidRPr="003506E5">
          <w:rPr>
            <w:noProof/>
            <w:webHidden/>
          </w:rPr>
          <w:fldChar w:fldCharType="separate"/>
        </w:r>
        <w:r w:rsidR="00924FB5" w:rsidRPr="003506E5">
          <w:rPr>
            <w:noProof/>
            <w:webHidden/>
          </w:rPr>
          <w:t>18</w:t>
        </w:r>
        <w:r w:rsidR="00924FB5" w:rsidRPr="003506E5">
          <w:rPr>
            <w:noProof/>
            <w:webHidden/>
          </w:rPr>
          <w:fldChar w:fldCharType="end"/>
        </w:r>
      </w:hyperlink>
    </w:p>
    <w:p w14:paraId="62951F3C" w14:textId="197E7751" w:rsidR="00924FB5" w:rsidRPr="003506E5" w:rsidRDefault="007049C3">
      <w:pPr>
        <w:pStyle w:val="TableofFigures"/>
        <w:tabs>
          <w:tab w:val="right" w:leader="dot" w:pos="9010"/>
        </w:tabs>
        <w:rPr>
          <w:rFonts w:asciiTheme="minorHAnsi" w:eastAsiaTheme="minorEastAsia" w:hAnsiTheme="minorHAnsi" w:cstheme="minorBidi"/>
          <w:noProof/>
          <w:lang w:eastAsia="en-US"/>
        </w:rPr>
      </w:pPr>
      <w:hyperlink w:anchor="_Toc57215224" w:history="1">
        <w:r w:rsidR="00924FB5" w:rsidRPr="003506E5">
          <w:rPr>
            <w:rStyle w:val="Hyperlink"/>
            <w:noProof/>
          </w:rPr>
          <w:t>Table 5: Enrolment of Beneficiary and Wider Populations</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_Toc57215224 \h </w:instrText>
        </w:r>
        <w:r w:rsidR="00924FB5" w:rsidRPr="003506E5">
          <w:rPr>
            <w:noProof/>
            <w:webHidden/>
          </w:rPr>
        </w:r>
        <w:r w:rsidR="00924FB5" w:rsidRPr="003506E5">
          <w:rPr>
            <w:noProof/>
            <w:webHidden/>
          </w:rPr>
          <w:fldChar w:fldCharType="separate"/>
        </w:r>
        <w:r w:rsidR="00924FB5" w:rsidRPr="003506E5">
          <w:rPr>
            <w:noProof/>
            <w:webHidden/>
          </w:rPr>
          <w:t>21</w:t>
        </w:r>
        <w:r w:rsidR="00924FB5" w:rsidRPr="003506E5">
          <w:rPr>
            <w:noProof/>
            <w:webHidden/>
          </w:rPr>
          <w:fldChar w:fldCharType="end"/>
        </w:r>
      </w:hyperlink>
    </w:p>
    <w:p w14:paraId="0DDC3DC8" w14:textId="10BC701B" w:rsidR="00924FB5" w:rsidRPr="003506E5" w:rsidRDefault="007049C3">
      <w:pPr>
        <w:pStyle w:val="TableofFigures"/>
        <w:tabs>
          <w:tab w:val="right" w:leader="dot" w:pos="9010"/>
        </w:tabs>
        <w:rPr>
          <w:rFonts w:asciiTheme="minorHAnsi" w:eastAsiaTheme="minorEastAsia" w:hAnsiTheme="minorHAnsi" w:cstheme="minorBidi"/>
          <w:noProof/>
          <w:lang w:eastAsia="en-US"/>
        </w:rPr>
      </w:pPr>
      <w:hyperlink w:anchor="_Toc57215225" w:history="1">
        <w:r w:rsidR="00924FB5" w:rsidRPr="003506E5">
          <w:rPr>
            <w:rStyle w:val="Hyperlink"/>
            <w:noProof/>
          </w:rPr>
          <w:t>Table 6: Enrolment of Eligible Population by Union Council</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_Toc57215225 \h </w:instrText>
        </w:r>
        <w:r w:rsidR="00924FB5" w:rsidRPr="003506E5">
          <w:rPr>
            <w:noProof/>
            <w:webHidden/>
          </w:rPr>
        </w:r>
        <w:r w:rsidR="00924FB5" w:rsidRPr="003506E5">
          <w:rPr>
            <w:noProof/>
            <w:webHidden/>
          </w:rPr>
          <w:fldChar w:fldCharType="separate"/>
        </w:r>
        <w:r w:rsidR="00924FB5" w:rsidRPr="003506E5">
          <w:rPr>
            <w:noProof/>
            <w:webHidden/>
          </w:rPr>
          <w:t>24</w:t>
        </w:r>
        <w:r w:rsidR="00924FB5" w:rsidRPr="003506E5">
          <w:rPr>
            <w:noProof/>
            <w:webHidden/>
          </w:rPr>
          <w:fldChar w:fldCharType="end"/>
        </w:r>
      </w:hyperlink>
    </w:p>
    <w:p w14:paraId="553AD43B" w14:textId="11C20EA7" w:rsidR="00924FB5" w:rsidRPr="003506E5" w:rsidRDefault="007049C3">
      <w:pPr>
        <w:pStyle w:val="TableofFigures"/>
        <w:tabs>
          <w:tab w:val="right" w:leader="dot" w:pos="9010"/>
        </w:tabs>
        <w:rPr>
          <w:rFonts w:asciiTheme="minorHAnsi" w:eastAsiaTheme="minorEastAsia" w:hAnsiTheme="minorHAnsi" w:cstheme="minorBidi"/>
          <w:noProof/>
          <w:lang w:eastAsia="en-US"/>
        </w:rPr>
      </w:pPr>
      <w:hyperlink w:anchor="_Toc57215226" w:history="1">
        <w:r w:rsidR="00924FB5" w:rsidRPr="003506E5">
          <w:rPr>
            <w:rStyle w:val="Hyperlink"/>
            <w:noProof/>
          </w:rPr>
          <w:t>Table 7: Distribution of eligible beneficiaries by Gender and Age Group</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_Toc57215226 \h </w:instrText>
        </w:r>
        <w:r w:rsidR="00924FB5" w:rsidRPr="003506E5">
          <w:rPr>
            <w:noProof/>
            <w:webHidden/>
          </w:rPr>
        </w:r>
        <w:r w:rsidR="00924FB5" w:rsidRPr="003506E5">
          <w:rPr>
            <w:noProof/>
            <w:webHidden/>
          </w:rPr>
          <w:fldChar w:fldCharType="separate"/>
        </w:r>
        <w:r w:rsidR="00924FB5" w:rsidRPr="003506E5">
          <w:rPr>
            <w:noProof/>
            <w:webHidden/>
          </w:rPr>
          <w:t>24</w:t>
        </w:r>
        <w:r w:rsidR="00924FB5" w:rsidRPr="003506E5">
          <w:rPr>
            <w:noProof/>
            <w:webHidden/>
          </w:rPr>
          <w:fldChar w:fldCharType="end"/>
        </w:r>
      </w:hyperlink>
    </w:p>
    <w:p w14:paraId="4CECCC93" w14:textId="4106BAB3" w:rsidR="00924FB5" w:rsidRPr="003506E5" w:rsidRDefault="007049C3">
      <w:pPr>
        <w:pStyle w:val="TableofFigures"/>
        <w:tabs>
          <w:tab w:val="right" w:leader="dot" w:pos="9010"/>
        </w:tabs>
        <w:rPr>
          <w:rFonts w:asciiTheme="minorHAnsi" w:eastAsiaTheme="minorEastAsia" w:hAnsiTheme="minorHAnsi" w:cstheme="minorBidi"/>
          <w:noProof/>
          <w:lang w:eastAsia="en-US"/>
        </w:rPr>
      </w:pPr>
      <w:hyperlink w:anchor="_Toc57215227" w:history="1">
        <w:r w:rsidR="00924FB5" w:rsidRPr="003506E5">
          <w:rPr>
            <w:rStyle w:val="Hyperlink"/>
            <w:noProof/>
          </w:rPr>
          <w:t>Table 8: Enrolment of wider population since inception of SHPI</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_Toc57215227 \h </w:instrText>
        </w:r>
        <w:r w:rsidR="00924FB5" w:rsidRPr="003506E5">
          <w:rPr>
            <w:noProof/>
            <w:webHidden/>
          </w:rPr>
        </w:r>
        <w:r w:rsidR="00924FB5" w:rsidRPr="003506E5">
          <w:rPr>
            <w:noProof/>
            <w:webHidden/>
          </w:rPr>
          <w:fldChar w:fldCharType="separate"/>
        </w:r>
        <w:r w:rsidR="00924FB5" w:rsidRPr="003506E5">
          <w:rPr>
            <w:noProof/>
            <w:webHidden/>
          </w:rPr>
          <w:t>26</w:t>
        </w:r>
        <w:r w:rsidR="00924FB5" w:rsidRPr="003506E5">
          <w:rPr>
            <w:noProof/>
            <w:webHidden/>
          </w:rPr>
          <w:fldChar w:fldCharType="end"/>
        </w:r>
      </w:hyperlink>
    </w:p>
    <w:p w14:paraId="337107E2" w14:textId="109168DC" w:rsidR="00924FB5" w:rsidRPr="003506E5" w:rsidRDefault="007049C3">
      <w:pPr>
        <w:pStyle w:val="TableofFigures"/>
        <w:tabs>
          <w:tab w:val="right" w:leader="dot" w:pos="9010"/>
        </w:tabs>
        <w:rPr>
          <w:rFonts w:asciiTheme="minorHAnsi" w:eastAsiaTheme="minorEastAsia" w:hAnsiTheme="minorHAnsi" w:cstheme="minorBidi"/>
          <w:noProof/>
          <w:lang w:eastAsia="en-US"/>
        </w:rPr>
      </w:pPr>
      <w:hyperlink w:anchor="_Toc57215228" w:history="1">
        <w:r w:rsidR="00924FB5" w:rsidRPr="003506E5">
          <w:rPr>
            <w:rStyle w:val="Hyperlink"/>
            <w:noProof/>
          </w:rPr>
          <w:t>Table 9: Distribution of enrolled wider population by Gender and Age Group</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_Toc57215228 \h </w:instrText>
        </w:r>
        <w:r w:rsidR="00924FB5" w:rsidRPr="003506E5">
          <w:rPr>
            <w:noProof/>
            <w:webHidden/>
          </w:rPr>
        </w:r>
        <w:r w:rsidR="00924FB5" w:rsidRPr="003506E5">
          <w:rPr>
            <w:noProof/>
            <w:webHidden/>
          </w:rPr>
          <w:fldChar w:fldCharType="separate"/>
        </w:r>
        <w:r w:rsidR="00924FB5" w:rsidRPr="003506E5">
          <w:rPr>
            <w:noProof/>
            <w:webHidden/>
          </w:rPr>
          <w:t>26</w:t>
        </w:r>
        <w:r w:rsidR="00924FB5" w:rsidRPr="003506E5">
          <w:rPr>
            <w:noProof/>
            <w:webHidden/>
          </w:rPr>
          <w:fldChar w:fldCharType="end"/>
        </w:r>
      </w:hyperlink>
    </w:p>
    <w:p w14:paraId="124832D6" w14:textId="70DB56E0" w:rsidR="00924FB5" w:rsidRPr="003506E5" w:rsidRDefault="007049C3">
      <w:pPr>
        <w:pStyle w:val="TableofFigures"/>
        <w:tabs>
          <w:tab w:val="right" w:leader="dot" w:pos="9010"/>
        </w:tabs>
        <w:rPr>
          <w:rFonts w:asciiTheme="minorHAnsi" w:eastAsiaTheme="minorEastAsia" w:hAnsiTheme="minorHAnsi" w:cstheme="minorBidi"/>
          <w:noProof/>
          <w:lang w:eastAsia="en-US"/>
        </w:rPr>
      </w:pPr>
      <w:hyperlink w:anchor="_Toc57215229" w:history="1">
        <w:r w:rsidR="00924FB5" w:rsidRPr="003506E5">
          <w:rPr>
            <w:rStyle w:val="Hyperlink"/>
            <w:noProof/>
          </w:rPr>
          <w:t>Table 10: Empanelled Hospitals in GB</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_Toc57215229 \h </w:instrText>
        </w:r>
        <w:r w:rsidR="00924FB5" w:rsidRPr="003506E5">
          <w:rPr>
            <w:noProof/>
            <w:webHidden/>
          </w:rPr>
        </w:r>
        <w:r w:rsidR="00924FB5" w:rsidRPr="003506E5">
          <w:rPr>
            <w:noProof/>
            <w:webHidden/>
          </w:rPr>
          <w:fldChar w:fldCharType="separate"/>
        </w:r>
        <w:r w:rsidR="00924FB5" w:rsidRPr="003506E5">
          <w:rPr>
            <w:noProof/>
            <w:webHidden/>
          </w:rPr>
          <w:t>27</w:t>
        </w:r>
        <w:r w:rsidR="00924FB5" w:rsidRPr="003506E5">
          <w:rPr>
            <w:noProof/>
            <w:webHidden/>
          </w:rPr>
          <w:fldChar w:fldCharType="end"/>
        </w:r>
      </w:hyperlink>
    </w:p>
    <w:p w14:paraId="76D2E506" w14:textId="3504B244" w:rsidR="00924FB5" w:rsidRPr="003506E5" w:rsidRDefault="007049C3">
      <w:pPr>
        <w:pStyle w:val="TableofFigures"/>
        <w:tabs>
          <w:tab w:val="right" w:leader="dot" w:pos="9010"/>
        </w:tabs>
        <w:rPr>
          <w:rFonts w:asciiTheme="minorHAnsi" w:eastAsiaTheme="minorEastAsia" w:hAnsiTheme="minorHAnsi" w:cstheme="minorBidi"/>
          <w:noProof/>
          <w:lang w:eastAsia="en-US"/>
        </w:rPr>
      </w:pPr>
      <w:hyperlink w:anchor="_Toc57215230" w:history="1">
        <w:r w:rsidR="00924FB5" w:rsidRPr="003506E5">
          <w:rPr>
            <w:rStyle w:val="Hyperlink"/>
            <w:noProof/>
          </w:rPr>
          <w:t>Table 11: Non-surgical Admissions</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_Toc57215230 \h </w:instrText>
        </w:r>
        <w:r w:rsidR="00924FB5" w:rsidRPr="003506E5">
          <w:rPr>
            <w:noProof/>
            <w:webHidden/>
          </w:rPr>
        </w:r>
        <w:r w:rsidR="00924FB5" w:rsidRPr="003506E5">
          <w:rPr>
            <w:noProof/>
            <w:webHidden/>
          </w:rPr>
          <w:fldChar w:fldCharType="separate"/>
        </w:r>
        <w:r w:rsidR="00924FB5" w:rsidRPr="003506E5">
          <w:rPr>
            <w:noProof/>
            <w:webHidden/>
          </w:rPr>
          <w:t>28</w:t>
        </w:r>
        <w:r w:rsidR="00924FB5" w:rsidRPr="003506E5">
          <w:rPr>
            <w:noProof/>
            <w:webHidden/>
          </w:rPr>
          <w:fldChar w:fldCharType="end"/>
        </w:r>
      </w:hyperlink>
    </w:p>
    <w:p w14:paraId="13A91A9B" w14:textId="2093609D" w:rsidR="00924FB5" w:rsidRPr="003506E5" w:rsidRDefault="007049C3">
      <w:pPr>
        <w:pStyle w:val="TableofFigures"/>
        <w:tabs>
          <w:tab w:val="right" w:leader="dot" w:pos="9010"/>
        </w:tabs>
        <w:rPr>
          <w:rFonts w:asciiTheme="minorHAnsi" w:eastAsiaTheme="minorEastAsia" w:hAnsiTheme="minorHAnsi" w:cstheme="minorBidi"/>
          <w:noProof/>
          <w:lang w:eastAsia="en-US"/>
        </w:rPr>
      </w:pPr>
      <w:hyperlink w:anchor="_Toc57215231" w:history="1">
        <w:r w:rsidR="00924FB5" w:rsidRPr="003506E5">
          <w:rPr>
            <w:rStyle w:val="Hyperlink"/>
            <w:noProof/>
          </w:rPr>
          <w:t>Table 12: Surgical Admissions</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_Toc57215231 \h </w:instrText>
        </w:r>
        <w:r w:rsidR="00924FB5" w:rsidRPr="003506E5">
          <w:rPr>
            <w:noProof/>
            <w:webHidden/>
          </w:rPr>
        </w:r>
        <w:r w:rsidR="00924FB5" w:rsidRPr="003506E5">
          <w:rPr>
            <w:noProof/>
            <w:webHidden/>
          </w:rPr>
          <w:fldChar w:fldCharType="separate"/>
        </w:r>
        <w:r w:rsidR="00924FB5" w:rsidRPr="003506E5">
          <w:rPr>
            <w:noProof/>
            <w:webHidden/>
          </w:rPr>
          <w:t>29</w:t>
        </w:r>
        <w:r w:rsidR="00924FB5" w:rsidRPr="003506E5">
          <w:rPr>
            <w:noProof/>
            <w:webHidden/>
          </w:rPr>
          <w:fldChar w:fldCharType="end"/>
        </w:r>
      </w:hyperlink>
    </w:p>
    <w:p w14:paraId="596E76DC" w14:textId="72BB8DF4" w:rsidR="00924FB5" w:rsidRPr="003506E5" w:rsidRDefault="007049C3">
      <w:pPr>
        <w:pStyle w:val="TableofFigures"/>
        <w:tabs>
          <w:tab w:val="right" w:leader="dot" w:pos="9010"/>
        </w:tabs>
        <w:rPr>
          <w:rFonts w:asciiTheme="minorHAnsi" w:eastAsiaTheme="minorEastAsia" w:hAnsiTheme="minorHAnsi" w:cstheme="minorBidi"/>
          <w:noProof/>
          <w:lang w:eastAsia="en-US"/>
        </w:rPr>
      </w:pPr>
      <w:hyperlink w:anchor="_Toc57215232" w:history="1">
        <w:r w:rsidR="00924FB5" w:rsidRPr="003506E5">
          <w:rPr>
            <w:rStyle w:val="Hyperlink"/>
            <w:noProof/>
          </w:rPr>
          <w:t>Table 13: Overall Number of enrolled households, individuals and quarterly admissions (Eligible Population)</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_Toc57215232 \h </w:instrText>
        </w:r>
        <w:r w:rsidR="00924FB5" w:rsidRPr="003506E5">
          <w:rPr>
            <w:noProof/>
            <w:webHidden/>
          </w:rPr>
        </w:r>
        <w:r w:rsidR="00924FB5" w:rsidRPr="003506E5">
          <w:rPr>
            <w:noProof/>
            <w:webHidden/>
          </w:rPr>
          <w:fldChar w:fldCharType="separate"/>
        </w:r>
        <w:r w:rsidR="00924FB5" w:rsidRPr="003506E5">
          <w:rPr>
            <w:noProof/>
            <w:webHidden/>
          </w:rPr>
          <w:t>31</w:t>
        </w:r>
        <w:r w:rsidR="00924FB5" w:rsidRPr="003506E5">
          <w:rPr>
            <w:noProof/>
            <w:webHidden/>
          </w:rPr>
          <w:fldChar w:fldCharType="end"/>
        </w:r>
      </w:hyperlink>
    </w:p>
    <w:p w14:paraId="7DD2CBDB" w14:textId="0A3E8409" w:rsidR="00924FB5" w:rsidRPr="003506E5" w:rsidRDefault="007049C3">
      <w:pPr>
        <w:pStyle w:val="TableofFigures"/>
        <w:tabs>
          <w:tab w:val="right" w:leader="dot" w:pos="9010"/>
        </w:tabs>
        <w:rPr>
          <w:rFonts w:asciiTheme="minorHAnsi" w:eastAsiaTheme="minorEastAsia" w:hAnsiTheme="minorHAnsi" w:cstheme="minorBidi"/>
          <w:noProof/>
          <w:lang w:eastAsia="en-US"/>
        </w:rPr>
      </w:pPr>
      <w:hyperlink w:anchor="_Toc57215233" w:history="1">
        <w:r w:rsidR="00924FB5" w:rsidRPr="003506E5">
          <w:rPr>
            <w:rStyle w:val="Hyperlink"/>
            <w:noProof/>
          </w:rPr>
          <w:t>Table 14: Service Utilisation of Eligible Population by Union Council</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_Toc57215233 \h </w:instrText>
        </w:r>
        <w:r w:rsidR="00924FB5" w:rsidRPr="003506E5">
          <w:rPr>
            <w:noProof/>
            <w:webHidden/>
          </w:rPr>
        </w:r>
        <w:r w:rsidR="00924FB5" w:rsidRPr="003506E5">
          <w:rPr>
            <w:noProof/>
            <w:webHidden/>
          </w:rPr>
          <w:fldChar w:fldCharType="separate"/>
        </w:r>
        <w:r w:rsidR="00924FB5" w:rsidRPr="003506E5">
          <w:rPr>
            <w:noProof/>
            <w:webHidden/>
          </w:rPr>
          <w:t>31</w:t>
        </w:r>
        <w:r w:rsidR="00924FB5" w:rsidRPr="003506E5">
          <w:rPr>
            <w:noProof/>
            <w:webHidden/>
          </w:rPr>
          <w:fldChar w:fldCharType="end"/>
        </w:r>
      </w:hyperlink>
    </w:p>
    <w:p w14:paraId="1AE38D04" w14:textId="501A8611" w:rsidR="00924FB5" w:rsidRPr="003506E5" w:rsidRDefault="007049C3">
      <w:pPr>
        <w:pStyle w:val="TableofFigures"/>
        <w:tabs>
          <w:tab w:val="right" w:leader="dot" w:pos="9010"/>
        </w:tabs>
        <w:rPr>
          <w:rFonts w:asciiTheme="minorHAnsi" w:eastAsiaTheme="minorEastAsia" w:hAnsiTheme="minorHAnsi" w:cstheme="minorBidi"/>
          <w:noProof/>
          <w:lang w:eastAsia="en-US"/>
        </w:rPr>
      </w:pPr>
      <w:hyperlink w:anchor="_Toc57215234" w:history="1">
        <w:r w:rsidR="00924FB5" w:rsidRPr="003506E5">
          <w:rPr>
            <w:rStyle w:val="Hyperlink"/>
            <w:noProof/>
          </w:rPr>
          <w:t>Table 15: Admissions in each Hospital (Jul-Dec 2019)</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_Toc57215234 \h </w:instrText>
        </w:r>
        <w:r w:rsidR="00924FB5" w:rsidRPr="003506E5">
          <w:rPr>
            <w:noProof/>
            <w:webHidden/>
          </w:rPr>
        </w:r>
        <w:r w:rsidR="00924FB5" w:rsidRPr="003506E5">
          <w:rPr>
            <w:noProof/>
            <w:webHidden/>
          </w:rPr>
          <w:fldChar w:fldCharType="separate"/>
        </w:r>
        <w:r w:rsidR="00924FB5" w:rsidRPr="003506E5">
          <w:rPr>
            <w:noProof/>
            <w:webHidden/>
          </w:rPr>
          <w:t>32</w:t>
        </w:r>
        <w:r w:rsidR="00924FB5" w:rsidRPr="003506E5">
          <w:rPr>
            <w:noProof/>
            <w:webHidden/>
          </w:rPr>
          <w:fldChar w:fldCharType="end"/>
        </w:r>
      </w:hyperlink>
    </w:p>
    <w:p w14:paraId="26A5A10E" w14:textId="6F007FC5" w:rsidR="00924FB5" w:rsidRPr="003506E5" w:rsidRDefault="007049C3">
      <w:pPr>
        <w:pStyle w:val="TableofFigures"/>
        <w:tabs>
          <w:tab w:val="right" w:leader="dot" w:pos="9010"/>
        </w:tabs>
        <w:rPr>
          <w:rFonts w:asciiTheme="minorHAnsi" w:eastAsiaTheme="minorEastAsia" w:hAnsiTheme="minorHAnsi" w:cstheme="minorBidi"/>
          <w:noProof/>
          <w:lang w:eastAsia="en-US"/>
        </w:rPr>
      </w:pPr>
      <w:hyperlink w:anchor="_Toc57215235" w:history="1">
        <w:r w:rsidR="00924FB5" w:rsidRPr="003506E5">
          <w:rPr>
            <w:rStyle w:val="Hyperlink"/>
            <w:noProof/>
          </w:rPr>
          <w:t>Table 16: Distribution of admissions by age group, gender and type of enrolment</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_Toc57215235 \h </w:instrText>
        </w:r>
        <w:r w:rsidR="00924FB5" w:rsidRPr="003506E5">
          <w:rPr>
            <w:noProof/>
            <w:webHidden/>
          </w:rPr>
        </w:r>
        <w:r w:rsidR="00924FB5" w:rsidRPr="003506E5">
          <w:rPr>
            <w:noProof/>
            <w:webHidden/>
          </w:rPr>
          <w:fldChar w:fldCharType="separate"/>
        </w:r>
        <w:r w:rsidR="00924FB5" w:rsidRPr="003506E5">
          <w:rPr>
            <w:noProof/>
            <w:webHidden/>
          </w:rPr>
          <w:t>35</w:t>
        </w:r>
        <w:r w:rsidR="00924FB5" w:rsidRPr="003506E5">
          <w:rPr>
            <w:noProof/>
            <w:webHidden/>
          </w:rPr>
          <w:fldChar w:fldCharType="end"/>
        </w:r>
      </w:hyperlink>
    </w:p>
    <w:p w14:paraId="3B205E51" w14:textId="1C81F319" w:rsidR="00924FB5" w:rsidRPr="003506E5" w:rsidRDefault="007049C3">
      <w:pPr>
        <w:pStyle w:val="TableofFigures"/>
        <w:tabs>
          <w:tab w:val="right" w:leader="dot" w:pos="9010"/>
        </w:tabs>
        <w:rPr>
          <w:rFonts w:asciiTheme="minorHAnsi" w:eastAsiaTheme="minorEastAsia" w:hAnsiTheme="minorHAnsi" w:cstheme="minorBidi"/>
          <w:noProof/>
          <w:lang w:eastAsia="en-US"/>
        </w:rPr>
      </w:pPr>
      <w:hyperlink w:anchor="_Toc57215236" w:history="1">
        <w:r w:rsidR="00924FB5" w:rsidRPr="003506E5">
          <w:rPr>
            <w:rStyle w:val="Hyperlink"/>
            <w:noProof/>
          </w:rPr>
          <w:t>Table 17: Utilisation Ratio  during reporting period by Age Group, Gender and type of Enrolment</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_Toc57215236 \h </w:instrText>
        </w:r>
        <w:r w:rsidR="00924FB5" w:rsidRPr="003506E5">
          <w:rPr>
            <w:noProof/>
            <w:webHidden/>
          </w:rPr>
        </w:r>
        <w:r w:rsidR="00924FB5" w:rsidRPr="003506E5">
          <w:rPr>
            <w:noProof/>
            <w:webHidden/>
          </w:rPr>
          <w:fldChar w:fldCharType="separate"/>
        </w:r>
        <w:r w:rsidR="00924FB5" w:rsidRPr="003506E5">
          <w:rPr>
            <w:noProof/>
            <w:webHidden/>
          </w:rPr>
          <w:t>35</w:t>
        </w:r>
        <w:r w:rsidR="00924FB5" w:rsidRPr="003506E5">
          <w:rPr>
            <w:noProof/>
            <w:webHidden/>
          </w:rPr>
          <w:fldChar w:fldCharType="end"/>
        </w:r>
      </w:hyperlink>
    </w:p>
    <w:p w14:paraId="63CF2729" w14:textId="426B4889" w:rsidR="00924FB5" w:rsidRPr="003506E5" w:rsidRDefault="007049C3">
      <w:pPr>
        <w:pStyle w:val="TableofFigures"/>
        <w:tabs>
          <w:tab w:val="right" w:leader="dot" w:pos="9010"/>
        </w:tabs>
        <w:rPr>
          <w:rFonts w:asciiTheme="minorHAnsi" w:eastAsiaTheme="minorEastAsia" w:hAnsiTheme="minorHAnsi" w:cstheme="minorBidi"/>
          <w:noProof/>
          <w:lang w:eastAsia="en-US"/>
        </w:rPr>
      </w:pPr>
      <w:hyperlink w:anchor="_Toc57215237" w:history="1">
        <w:r w:rsidR="00924FB5" w:rsidRPr="003506E5">
          <w:rPr>
            <w:rStyle w:val="Hyperlink"/>
            <w:noProof/>
          </w:rPr>
          <w:t>Table 18: Average length of stay by each hospital (Jul-Dec 2019)</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_Toc57215237 \h </w:instrText>
        </w:r>
        <w:r w:rsidR="00924FB5" w:rsidRPr="003506E5">
          <w:rPr>
            <w:noProof/>
            <w:webHidden/>
          </w:rPr>
        </w:r>
        <w:r w:rsidR="00924FB5" w:rsidRPr="003506E5">
          <w:rPr>
            <w:noProof/>
            <w:webHidden/>
          </w:rPr>
          <w:fldChar w:fldCharType="separate"/>
        </w:r>
        <w:r w:rsidR="00924FB5" w:rsidRPr="003506E5">
          <w:rPr>
            <w:noProof/>
            <w:webHidden/>
          </w:rPr>
          <w:t>36</w:t>
        </w:r>
        <w:r w:rsidR="00924FB5" w:rsidRPr="003506E5">
          <w:rPr>
            <w:noProof/>
            <w:webHidden/>
          </w:rPr>
          <w:fldChar w:fldCharType="end"/>
        </w:r>
      </w:hyperlink>
    </w:p>
    <w:p w14:paraId="1D1E32A7" w14:textId="2C144743" w:rsidR="00924FB5" w:rsidRPr="003506E5" w:rsidRDefault="007049C3">
      <w:pPr>
        <w:pStyle w:val="TableofFigures"/>
        <w:tabs>
          <w:tab w:val="right" w:leader="dot" w:pos="9010"/>
        </w:tabs>
        <w:rPr>
          <w:rFonts w:asciiTheme="minorHAnsi" w:eastAsiaTheme="minorEastAsia" w:hAnsiTheme="minorHAnsi" w:cstheme="minorBidi"/>
          <w:noProof/>
          <w:lang w:eastAsia="en-US"/>
        </w:rPr>
      </w:pPr>
      <w:hyperlink w:anchor="_Toc57215238" w:history="1">
        <w:r w:rsidR="00924FB5" w:rsidRPr="003506E5">
          <w:rPr>
            <w:rStyle w:val="Hyperlink"/>
            <w:noProof/>
          </w:rPr>
          <w:t>Table 19: Number of Admissions by Length of Stay by Type of Beneficiaries</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_Toc57215238 \h </w:instrText>
        </w:r>
        <w:r w:rsidR="00924FB5" w:rsidRPr="003506E5">
          <w:rPr>
            <w:noProof/>
            <w:webHidden/>
          </w:rPr>
        </w:r>
        <w:r w:rsidR="00924FB5" w:rsidRPr="003506E5">
          <w:rPr>
            <w:noProof/>
            <w:webHidden/>
          </w:rPr>
          <w:fldChar w:fldCharType="separate"/>
        </w:r>
        <w:r w:rsidR="00924FB5" w:rsidRPr="003506E5">
          <w:rPr>
            <w:noProof/>
            <w:webHidden/>
          </w:rPr>
          <w:t>36</w:t>
        </w:r>
        <w:r w:rsidR="00924FB5" w:rsidRPr="003506E5">
          <w:rPr>
            <w:noProof/>
            <w:webHidden/>
          </w:rPr>
          <w:fldChar w:fldCharType="end"/>
        </w:r>
      </w:hyperlink>
    </w:p>
    <w:p w14:paraId="2A89F395" w14:textId="754EA7E4" w:rsidR="00924FB5" w:rsidRPr="003506E5" w:rsidRDefault="007049C3">
      <w:pPr>
        <w:pStyle w:val="TableofFigures"/>
        <w:tabs>
          <w:tab w:val="right" w:leader="dot" w:pos="9010"/>
        </w:tabs>
        <w:rPr>
          <w:rFonts w:asciiTheme="minorHAnsi" w:eastAsiaTheme="minorEastAsia" w:hAnsiTheme="minorHAnsi" w:cstheme="minorBidi"/>
          <w:noProof/>
          <w:lang w:eastAsia="en-US"/>
        </w:rPr>
      </w:pPr>
      <w:hyperlink w:anchor="_Toc57215239" w:history="1">
        <w:r w:rsidR="00924FB5" w:rsidRPr="003506E5">
          <w:rPr>
            <w:rStyle w:val="Hyperlink"/>
            <w:noProof/>
          </w:rPr>
          <w:t>Table 20: Top Ten Diagnoses of One Day Admissions</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_Toc57215239 \h </w:instrText>
        </w:r>
        <w:r w:rsidR="00924FB5" w:rsidRPr="003506E5">
          <w:rPr>
            <w:noProof/>
            <w:webHidden/>
          </w:rPr>
        </w:r>
        <w:r w:rsidR="00924FB5" w:rsidRPr="003506E5">
          <w:rPr>
            <w:noProof/>
            <w:webHidden/>
          </w:rPr>
          <w:fldChar w:fldCharType="separate"/>
        </w:r>
        <w:r w:rsidR="00924FB5" w:rsidRPr="003506E5">
          <w:rPr>
            <w:noProof/>
            <w:webHidden/>
          </w:rPr>
          <w:t>36</w:t>
        </w:r>
        <w:r w:rsidR="00924FB5" w:rsidRPr="003506E5">
          <w:rPr>
            <w:noProof/>
            <w:webHidden/>
          </w:rPr>
          <w:fldChar w:fldCharType="end"/>
        </w:r>
      </w:hyperlink>
    </w:p>
    <w:p w14:paraId="0952567A" w14:textId="01298200" w:rsidR="00924FB5" w:rsidRPr="003506E5" w:rsidRDefault="007049C3">
      <w:pPr>
        <w:pStyle w:val="TableofFigures"/>
        <w:tabs>
          <w:tab w:val="right" w:leader="dot" w:pos="9010"/>
        </w:tabs>
        <w:rPr>
          <w:rFonts w:asciiTheme="minorHAnsi" w:eastAsiaTheme="minorEastAsia" w:hAnsiTheme="minorHAnsi" w:cstheme="minorBidi"/>
          <w:noProof/>
          <w:lang w:eastAsia="en-US"/>
        </w:rPr>
      </w:pPr>
      <w:hyperlink w:anchor="_Toc57215240" w:history="1">
        <w:r w:rsidR="00924FB5" w:rsidRPr="003506E5">
          <w:rPr>
            <w:rStyle w:val="Hyperlink"/>
            <w:noProof/>
          </w:rPr>
          <w:t>Table 21: Claimed Amount against top 10 &amp; all Non-surgical Admissions (Jan-Jun 2020)</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_Toc57215240 \h </w:instrText>
        </w:r>
        <w:r w:rsidR="00924FB5" w:rsidRPr="003506E5">
          <w:rPr>
            <w:noProof/>
            <w:webHidden/>
          </w:rPr>
        </w:r>
        <w:r w:rsidR="00924FB5" w:rsidRPr="003506E5">
          <w:rPr>
            <w:noProof/>
            <w:webHidden/>
          </w:rPr>
          <w:fldChar w:fldCharType="separate"/>
        </w:r>
        <w:r w:rsidR="00924FB5" w:rsidRPr="003506E5">
          <w:rPr>
            <w:noProof/>
            <w:webHidden/>
          </w:rPr>
          <w:t>37</w:t>
        </w:r>
        <w:r w:rsidR="00924FB5" w:rsidRPr="003506E5">
          <w:rPr>
            <w:noProof/>
            <w:webHidden/>
          </w:rPr>
          <w:fldChar w:fldCharType="end"/>
        </w:r>
      </w:hyperlink>
    </w:p>
    <w:p w14:paraId="36CC3467" w14:textId="351E32F6" w:rsidR="00924FB5" w:rsidRPr="003506E5" w:rsidRDefault="007049C3">
      <w:pPr>
        <w:pStyle w:val="TableofFigures"/>
        <w:tabs>
          <w:tab w:val="right" w:leader="dot" w:pos="9010"/>
        </w:tabs>
        <w:rPr>
          <w:rFonts w:asciiTheme="minorHAnsi" w:eastAsiaTheme="minorEastAsia" w:hAnsiTheme="minorHAnsi" w:cstheme="minorBidi"/>
          <w:noProof/>
          <w:lang w:eastAsia="en-US"/>
        </w:rPr>
      </w:pPr>
      <w:hyperlink w:anchor="_Toc57215241" w:history="1">
        <w:r w:rsidR="00924FB5" w:rsidRPr="003506E5">
          <w:rPr>
            <w:rStyle w:val="Hyperlink"/>
            <w:noProof/>
          </w:rPr>
          <w:t>Table 22: Claimed Amount against top 10 &amp; all Surgical Admissions (Jan-Jun 2020)</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_Toc57215241 \h </w:instrText>
        </w:r>
        <w:r w:rsidR="00924FB5" w:rsidRPr="003506E5">
          <w:rPr>
            <w:noProof/>
            <w:webHidden/>
          </w:rPr>
        </w:r>
        <w:r w:rsidR="00924FB5" w:rsidRPr="003506E5">
          <w:rPr>
            <w:noProof/>
            <w:webHidden/>
          </w:rPr>
          <w:fldChar w:fldCharType="separate"/>
        </w:r>
        <w:r w:rsidR="00924FB5" w:rsidRPr="003506E5">
          <w:rPr>
            <w:noProof/>
            <w:webHidden/>
          </w:rPr>
          <w:t>37</w:t>
        </w:r>
        <w:r w:rsidR="00924FB5" w:rsidRPr="003506E5">
          <w:rPr>
            <w:noProof/>
            <w:webHidden/>
          </w:rPr>
          <w:fldChar w:fldCharType="end"/>
        </w:r>
      </w:hyperlink>
    </w:p>
    <w:p w14:paraId="4CC76869" w14:textId="401E08EF" w:rsidR="00DF7F2D" w:rsidRPr="003506E5" w:rsidRDefault="00B76041" w:rsidP="00846A29">
      <w:pPr>
        <w:pStyle w:val="Prelim"/>
      </w:pPr>
      <w:r w:rsidRPr="003506E5">
        <w:fldChar w:fldCharType="end"/>
      </w:r>
      <w:r w:rsidR="00DF7F2D" w:rsidRPr="003506E5">
        <w:t>List of Figures</w:t>
      </w:r>
    </w:p>
    <w:p w14:paraId="4EA54710" w14:textId="7BAA652F" w:rsidR="00924FB5" w:rsidRPr="003506E5" w:rsidRDefault="00B76041">
      <w:pPr>
        <w:pStyle w:val="TableofFigures"/>
        <w:tabs>
          <w:tab w:val="right" w:leader="dot" w:pos="9010"/>
        </w:tabs>
        <w:rPr>
          <w:rFonts w:asciiTheme="minorHAnsi" w:eastAsiaTheme="minorEastAsia" w:hAnsiTheme="minorHAnsi" w:cstheme="minorBidi"/>
          <w:noProof/>
          <w:lang w:eastAsia="en-US"/>
        </w:rPr>
      </w:pPr>
      <w:r w:rsidRPr="003506E5">
        <w:fldChar w:fldCharType="begin"/>
      </w:r>
      <w:r w:rsidR="00DF7F2D" w:rsidRPr="003506E5">
        <w:instrText xml:space="preserve"> TOC \h \z \c "Figure" </w:instrText>
      </w:r>
      <w:r w:rsidRPr="003506E5">
        <w:fldChar w:fldCharType="separate"/>
      </w:r>
      <w:hyperlink w:anchor="_Toc57215242" w:history="1">
        <w:r w:rsidR="00924FB5" w:rsidRPr="003506E5">
          <w:rPr>
            <w:rStyle w:val="Hyperlink"/>
            <w:noProof/>
          </w:rPr>
          <w:t>Figure 1: COVID-19 Cases by Province, Pakistan, to June 2020</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_Toc57215242 \h </w:instrText>
        </w:r>
        <w:r w:rsidR="00924FB5" w:rsidRPr="003506E5">
          <w:rPr>
            <w:noProof/>
            <w:webHidden/>
          </w:rPr>
        </w:r>
        <w:r w:rsidR="00924FB5" w:rsidRPr="003506E5">
          <w:rPr>
            <w:noProof/>
            <w:webHidden/>
          </w:rPr>
          <w:fldChar w:fldCharType="separate"/>
        </w:r>
        <w:r w:rsidR="00924FB5" w:rsidRPr="003506E5">
          <w:rPr>
            <w:noProof/>
            <w:webHidden/>
          </w:rPr>
          <w:t>11</w:t>
        </w:r>
        <w:r w:rsidR="00924FB5" w:rsidRPr="003506E5">
          <w:rPr>
            <w:noProof/>
            <w:webHidden/>
          </w:rPr>
          <w:fldChar w:fldCharType="end"/>
        </w:r>
      </w:hyperlink>
    </w:p>
    <w:p w14:paraId="35A41C7C" w14:textId="37CBE48F" w:rsidR="00924FB5" w:rsidRPr="003506E5" w:rsidRDefault="007049C3">
      <w:pPr>
        <w:pStyle w:val="TableofFigures"/>
        <w:tabs>
          <w:tab w:val="right" w:leader="dot" w:pos="9010"/>
        </w:tabs>
        <w:rPr>
          <w:rFonts w:asciiTheme="minorHAnsi" w:eastAsiaTheme="minorEastAsia" w:hAnsiTheme="minorHAnsi" w:cstheme="minorBidi"/>
          <w:noProof/>
          <w:lang w:eastAsia="en-US"/>
        </w:rPr>
      </w:pPr>
      <w:hyperlink w:anchor="_Toc57215243" w:history="1">
        <w:r w:rsidR="00924FB5" w:rsidRPr="003506E5">
          <w:rPr>
            <w:rStyle w:val="Hyperlink"/>
            <w:noProof/>
          </w:rPr>
          <w:t>Figure 2: Number of cases of COVID-19 by District, Khyber Pakhtunkhwa to June 2020</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_Toc57215243 \h </w:instrText>
        </w:r>
        <w:r w:rsidR="00924FB5" w:rsidRPr="003506E5">
          <w:rPr>
            <w:noProof/>
            <w:webHidden/>
          </w:rPr>
        </w:r>
        <w:r w:rsidR="00924FB5" w:rsidRPr="003506E5">
          <w:rPr>
            <w:noProof/>
            <w:webHidden/>
          </w:rPr>
          <w:fldChar w:fldCharType="separate"/>
        </w:r>
        <w:r w:rsidR="00924FB5" w:rsidRPr="003506E5">
          <w:rPr>
            <w:noProof/>
            <w:webHidden/>
          </w:rPr>
          <w:t>12</w:t>
        </w:r>
        <w:r w:rsidR="00924FB5" w:rsidRPr="003506E5">
          <w:rPr>
            <w:noProof/>
            <w:webHidden/>
          </w:rPr>
          <w:fldChar w:fldCharType="end"/>
        </w:r>
      </w:hyperlink>
    </w:p>
    <w:p w14:paraId="73E59B8F" w14:textId="22038971" w:rsidR="00924FB5" w:rsidRPr="003506E5" w:rsidRDefault="007049C3">
      <w:pPr>
        <w:pStyle w:val="TableofFigures"/>
        <w:tabs>
          <w:tab w:val="right" w:leader="dot" w:pos="9010"/>
        </w:tabs>
        <w:rPr>
          <w:rFonts w:asciiTheme="minorHAnsi" w:eastAsiaTheme="minorEastAsia" w:hAnsiTheme="minorHAnsi" w:cstheme="minorBidi"/>
          <w:noProof/>
          <w:lang w:eastAsia="en-US"/>
        </w:rPr>
      </w:pPr>
      <w:hyperlink w:anchor="_Toc57215244" w:history="1">
        <w:r w:rsidR="00924FB5" w:rsidRPr="003506E5">
          <w:rPr>
            <w:rStyle w:val="Hyperlink"/>
            <w:noProof/>
          </w:rPr>
          <w:t>Figure 3: Map of Gilgit District with its Union Councils</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_Toc57215244 \h </w:instrText>
        </w:r>
        <w:r w:rsidR="00924FB5" w:rsidRPr="003506E5">
          <w:rPr>
            <w:noProof/>
            <w:webHidden/>
          </w:rPr>
        </w:r>
        <w:r w:rsidR="00924FB5" w:rsidRPr="003506E5">
          <w:rPr>
            <w:noProof/>
            <w:webHidden/>
          </w:rPr>
          <w:fldChar w:fldCharType="separate"/>
        </w:r>
        <w:r w:rsidR="00924FB5" w:rsidRPr="003506E5">
          <w:rPr>
            <w:noProof/>
            <w:webHidden/>
          </w:rPr>
          <w:t>23</w:t>
        </w:r>
        <w:r w:rsidR="00924FB5" w:rsidRPr="003506E5">
          <w:rPr>
            <w:noProof/>
            <w:webHidden/>
          </w:rPr>
          <w:fldChar w:fldCharType="end"/>
        </w:r>
      </w:hyperlink>
    </w:p>
    <w:p w14:paraId="4A8DA6F9" w14:textId="217E871F" w:rsidR="00924FB5" w:rsidRPr="003506E5" w:rsidRDefault="007049C3">
      <w:pPr>
        <w:pStyle w:val="TableofFigures"/>
        <w:tabs>
          <w:tab w:val="right" w:leader="dot" w:pos="9010"/>
        </w:tabs>
        <w:rPr>
          <w:rFonts w:asciiTheme="minorHAnsi" w:eastAsiaTheme="minorEastAsia" w:hAnsiTheme="minorHAnsi" w:cstheme="minorBidi"/>
          <w:noProof/>
          <w:lang w:eastAsia="en-US"/>
        </w:rPr>
      </w:pPr>
      <w:hyperlink w:anchor="_Toc57215245" w:history="1">
        <w:r w:rsidR="00924FB5" w:rsidRPr="003506E5">
          <w:rPr>
            <w:rStyle w:val="Hyperlink"/>
            <w:noProof/>
          </w:rPr>
          <w:t>Figure 4: Quarterly trend of Admissions</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_Toc57215245 \h </w:instrText>
        </w:r>
        <w:r w:rsidR="00924FB5" w:rsidRPr="003506E5">
          <w:rPr>
            <w:noProof/>
            <w:webHidden/>
          </w:rPr>
        </w:r>
        <w:r w:rsidR="00924FB5" w:rsidRPr="003506E5">
          <w:rPr>
            <w:noProof/>
            <w:webHidden/>
          </w:rPr>
          <w:fldChar w:fldCharType="separate"/>
        </w:r>
        <w:r w:rsidR="00924FB5" w:rsidRPr="003506E5">
          <w:rPr>
            <w:noProof/>
            <w:webHidden/>
          </w:rPr>
          <w:t>30</w:t>
        </w:r>
        <w:r w:rsidR="00924FB5" w:rsidRPr="003506E5">
          <w:rPr>
            <w:noProof/>
            <w:webHidden/>
          </w:rPr>
          <w:fldChar w:fldCharType="end"/>
        </w:r>
      </w:hyperlink>
    </w:p>
    <w:p w14:paraId="374B7932" w14:textId="7A0CC40E" w:rsidR="00924FB5" w:rsidRPr="003506E5" w:rsidRDefault="007049C3">
      <w:pPr>
        <w:pStyle w:val="TableofFigures"/>
        <w:tabs>
          <w:tab w:val="right" w:leader="dot" w:pos="9010"/>
        </w:tabs>
        <w:rPr>
          <w:rFonts w:asciiTheme="minorHAnsi" w:eastAsiaTheme="minorEastAsia" w:hAnsiTheme="minorHAnsi" w:cstheme="minorBidi"/>
          <w:noProof/>
          <w:lang w:eastAsia="en-US"/>
        </w:rPr>
      </w:pPr>
      <w:hyperlink w:anchor="_Toc57215246" w:history="1">
        <w:r w:rsidR="00924FB5" w:rsidRPr="003506E5">
          <w:rPr>
            <w:rStyle w:val="Hyperlink"/>
            <w:noProof/>
          </w:rPr>
          <w:t>Figure 5: Impact of COVID-19 on total admissions from insured population</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_Toc57215246 \h </w:instrText>
        </w:r>
        <w:r w:rsidR="00924FB5" w:rsidRPr="003506E5">
          <w:rPr>
            <w:noProof/>
            <w:webHidden/>
          </w:rPr>
        </w:r>
        <w:r w:rsidR="00924FB5" w:rsidRPr="003506E5">
          <w:rPr>
            <w:noProof/>
            <w:webHidden/>
          </w:rPr>
          <w:fldChar w:fldCharType="separate"/>
        </w:r>
        <w:r w:rsidR="00924FB5" w:rsidRPr="003506E5">
          <w:rPr>
            <w:noProof/>
            <w:webHidden/>
          </w:rPr>
          <w:t>34</w:t>
        </w:r>
        <w:r w:rsidR="00924FB5" w:rsidRPr="003506E5">
          <w:rPr>
            <w:noProof/>
            <w:webHidden/>
          </w:rPr>
          <w:fldChar w:fldCharType="end"/>
        </w:r>
      </w:hyperlink>
    </w:p>
    <w:p w14:paraId="65754BBA" w14:textId="247F58B0" w:rsidR="00924FB5" w:rsidRPr="003506E5" w:rsidRDefault="007049C3">
      <w:pPr>
        <w:pStyle w:val="TableofFigures"/>
        <w:tabs>
          <w:tab w:val="right" w:leader="dot" w:pos="9010"/>
        </w:tabs>
        <w:rPr>
          <w:rFonts w:asciiTheme="minorHAnsi" w:eastAsiaTheme="minorEastAsia" w:hAnsiTheme="minorHAnsi" w:cstheme="minorBidi"/>
          <w:noProof/>
          <w:lang w:eastAsia="en-US"/>
        </w:rPr>
      </w:pPr>
      <w:hyperlink w:anchor="_Toc57215247" w:history="1">
        <w:r w:rsidR="00924FB5" w:rsidRPr="003506E5">
          <w:rPr>
            <w:rStyle w:val="Hyperlink"/>
            <w:noProof/>
          </w:rPr>
          <w:t>Figure 6: Impact of COVID-19 on total admissions in Public Sector Hospitals in Gilgit</w:t>
        </w:r>
        <w:r w:rsidR="00924FB5" w:rsidRPr="003506E5">
          <w:rPr>
            <w:noProof/>
            <w:webHidden/>
          </w:rPr>
          <w:tab/>
        </w:r>
        <w:r w:rsidR="00924FB5" w:rsidRPr="003506E5">
          <w:rPr>
            <w:noProof/>
            <w:webHidden/>
          </w:rPr>
          <w:fldChar w:fldCharType="begin"/>
        </w:r>
        <w:r w:rsidR="00924FB5" w:rsidRPr="003506E5">
          <w:rPr>
            <w:noProof/>
            <w:webHidden/>
          </w:rPr>
          <w:instrText xml:space="preserve"> PAGEREF _Toc57215247 \h </w:instrText>
        </w:r>
        <w:r w:rsidR="00924FB5" w:rsidRPr="003506E5">
          <w:rPr>
            <w:noProof/>
            <w:webHidden/>
          </w:rPr>
        </w:r>
        <w:r w:rsidR="00924FB5" w:rsidRPr="003506E5">
          <w:rPr>
            <w:noProof/>
            <w:webHidden/>
          </w:rPr>
          <w:fldChar w:fldCharType="separate"/>
        </w:r>
        <w:r w:rsidR="00924FB5" w:rsidRPr="003506E5">
          <w:rPr>
            <w:noProof/>
            <w:webHidden/>
          </w:rPr>
          <w:t>34</w:t>
        </w:r>
        <w:r w:rsidR="00924FB5" w:rsidRPr="003506E5">
          <w:rPr>
            <w:noProof/>
            <w:webHidden/>
          </w:rPr>
          <w:fldChar w:fldCharType="end"/>
        </w:r>
      </w:hyperlink>
    </w:p>
    <w:p w14:paraId="0FF136B7" w14:textId="1B1D507B" w:rsidR="00EB1301" w:rsidRPr="003506E5" w:rsidRDefault="00B76041" w:rsidP="00846A29">
      <w:pPr>
        <w:pStyle w:val="Prelim"/>
      </w:pPr>
      <w:r w:rsidRPr="003506E5">
        <w:fldChar w:fldCharType="end"/>
      </w:r>
    </w:p>
    <w:p w14:paraId="108ED6F5" w14:textId="77777777" w:rsidR="00924FB5" w:rsidRPr="003506E5" w:rsidRDefault="00924FB5">
      <w:pPr>
        <w:spacing w:after="0" w:line="240" w:lineRule="auto"/>
        <w:rPr>
          <w:b/>
          <w:color w:val="0B1F51"/>
          <w:sz w:val="32"/>
          <w:szCs w:val="24"/>
        </w:rPr>
      </w:pPr>
      <w:r w:rsidRPr="003506E5">
        <w:br w:type="page"/>
      </w:r>
    </w:p>
    <w:p w14:paraId="33CCB497" w14:textId="2E8DCA18" w:rsidR="00DF7F2D" w:rsidRPr="003506E5" w:rsidRDefault="00DF7F2D" w:rsidP="00846A29">
      <w:pPr>
        <w:pStyle w:val="Prelim"/>
      </w:pPr>
      <w:r w:rsidRPr="003506E5">
        <w:lastRenderedPageBreak/>
        <w:t>List of Abbreviations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037"/>
      </w:tblGrid>
      <w:tr w:rsidR="00DF7F2D" w:rsidRPr="003506E5" w14:paraId="35D4B5E1" w14:textId="77777777" w:rsidTr="006A5779">
        <w:tc>
          <w:tcPr>
            <w:tcW w:w="1980" w:type="dxa"/>
          </w:tcPr>
          <w:p w14:paraId="3F7FCD98" w14:textId="08A9F943" w:rsidR="00494729" w:rsidRPr="003506E5" w:rsidRDefault="00EB1301" w:rsidP="00DE3320">
            <w:pPr>
              <w:pStyle w:val="BodyText"/>
              <w:spacing w:before="40" w:after="40" w:line="240" w:lineRule="auto"/>
              <w:rPr>
                <w:sz w:val="20"/>
                <w:szCs w:val="20"/>
              </w:rPr>
            </w:pPr>
            <w:r w:rsidRPr="003506E5">
              <w:rPr>
                <w:sz w:val="20"/>
                <w:szCs w:val="20"/>
              </w:rPr>
              <w:t>ADB</w:t>
            </w:r>
          </w:p>
        </w:tc>
        <w:tc>
          <w:tcPr>
            <w:tcW w:w="7037" w:type="dxa"/>
          </w:tcPr>
          <w:p w14:paraId="11E5BEC8" w14:textId="7BCC36A2" w:rsidR="00494729" w:rsidRPr="003506E5" w:rsidRDefault="00EB1301" w:rsidP="00DE3320">
            <w:pPr>
              <w:pStyle w:val="BodyText"/>
              <w:spacing w:before="40" w:after="40" w:line="240" w:lineRule="auto"/>
              <w:rPr>
                <w:sz w:val="20"/>
                <w:szCs w:val="20"/>
              </w:rPr>
            </w:pPr>
            <w:r w:rsidRPr="003506E5">
              <w:rPr>
                <w:sz w:val="20"/>
                <w:szCs w:val="20"/>
              </w:rPr>
              <w:t>Asian Development Bank</w:t>
            </w:r>
          </w:p>
        </w:tc>
      </w:tr>
      <w:tr w:rsidR="00DE3320" w:rsidRPr="003506E5" w14:paraId="258BCFE7" w14:textId="77777777" w:rsidTr="006A5779">
        <w:tc>
          <w:tcPr>
            <w:tcW w:w="1980" w:type="dxa"/>
          </w:tcPr>
          <w:p w14:paraId="7E908CA7" w14:textId="16DA6777" w:rsidR="00DE3320" w:rsidRPr="003506E5" w:rsidRDefault="00DE3320" w:rsidP="00E94AF2">
            <w:pPr>
              <w:pStyle w:val="BodyText"/>
              <w:spacing w:before="40" w:after="40" w:line="240" w:lineRule="auto"/>
              <w:rPr>
                <w:sz w:val="20"/>
                <w:szCs w:val="20"/>
              </w:rPr>
            </w:pPr>
            <w:r w:rsidRPr="003506E5">
              <w:rPr>
                <w:sz w:val="20"/>
                <w:szCs w:val="20"/>
              </w:rPr>
              <w:t>AKDN</w:t>
            </w:r>
          </w:p>
        </w:tc>
        <w:tc>
          <w:tcPr>
            <w:tcW w:w="7037" w:type="dxa"/>
          </w:tcPr>
          <w:p w14:paraId="0A70D443" w14:textId="38A132E1" w:rsidR="00DE3320" w:rsidRPr="003506E5" w:rsidRDefault="00DE3320" w:rsidP="00E94AF2">
            <w:pPr>
              <w:pStyle w:val="BodyText"/>
              <w:spacing w:before="40" w:after="40" w:line="240" w:lineRule="auto"/>
              <w:rPr>
                <w:sz w:val="20"/>
                <w:szCs w:val="20"/>
              </w:rPr>
            </w:pPr>
            <w:r w:rsidRPr="003506E5">
              <w:rPr>
                <w:sz w:val="20"/>
                <w:szCs w:val="20"/>
              </w:rPr>
              <w:t>Aga Khan Development Network</w:t>
            </w:r>
          </w:p>
        </w:tc>
      </w:tr>
      <w:tr w:rsidR="00DE3320" w:rsidRPr="003506E5" w14:paraId="75DE855C" w14:textId="77777777" w:rsidTr="006A5779">
        <w:tc>
          <w:tcPr>
            <w:tcW w:w="1980" w:type="dxa"/>
          </w:tcPr>
          <w:p w14:paraId="7326CBCD" w14:textId="6684AD61" w:rsidR="00DE3320" w:rsidRPr="003506E5" w:rsidRDefault="00DE3320" w:rsidP="00E94AF2">
            <w:pPr>
              <w:pStyle w:val="BodyText"/>
              <w:spacing w:before="40" w:after="40" w:line="240" w:lineRule="auto"/>
              <w:rPr>
                <w:sz w:val="20"/>
                <w:szCs w:val="20"/>
              </w:rPr>
            </w:pPr>
            <w:r w:rsidRPr="003506E5">
              <w:rPr>
                <w:sz w:val="20"/>
                <w:szCs w:val="20"/>
              </w:rPr>
              <w:t>AKF</w:t>
            </w:r>
          </w:p>
        </w:tc>
        <w:tc>
          <w:tcPr>
            <w:tcW w:w="7037" w:type="dxa"/>
          </w:tcPr>
          <w:p w14:paraId="32655E47" w14:textId="3CB04D66" w:rsidR="00DE3320" w:rsidRPr="003506E5" w:rsidRDefault="00DE3320" w:rsidP="00E94AF2">
            <w:pPr>
              <w:pStyle w:val="BodyText"/>
              <w:spacing w:before="40" w:after="40" w:line="240" w:lineRule="auto"/>
              <w:rPr>
                <w:sz w:val="20"/>
                <w:szCs w:val="20"/>
              </w:rPr>
            </w:pPr>
            <w:r w:rsidRPr="003506E5">
              <w:rPr>
                <w:sz w:val="20"/>
                <w:szCs w:val="20"/>
              </w:rPr>
              <w:t>Aga Khan Foundation</w:t>
            </w:r>
          </w:p>
        </w:tc>
      </w:tr>
      <w:tr w:rsidR="00341E42" w:rsidRPr="003506E5" w14:paraId="5C04381C" w14:textId="77777777" w:rsidTr="006A5779">
        <w:tc>
          <w:tcPr>
            <w:tcW w:w="1980" w:type="dxa"/>
          </w:tcPr>
          <w:p w14:paraId="12DE2896" w14:textId="5E6B94A2" w:rsidR="00341E42" w:rsidRPr="003506E5" w:rsidRDefault="00341E42" w:rsidP="00E94AF2">
            <w:pPr>
              <w:pStyle w:val="BodyText"/>
              <w:spacing w:before="40" w:after="40" w:line="240" w:lineRule="auto"/>
              <w:rPr>
                <w:sz w:val="20"/>
                <w:szCs w:val="20"/>
              </w:rPr>
            </w:pPr>
            <w:r w:rsidRPr="003506E5">
              <w:rPr>
                <w:sz w:val="20"/>
                <w:szCs w:val="20"/>
              </w:rPr>
              <w:t>ALOS</w:t>
            </w:r>
          </w:p>
        </w:tc>
        <w:tc>
          <w:tcPr>
            <w:tcW w:w="7037" w:type="dxa"/>
          </w:tcPr>
          <w:p w14:paraId="6FC7B8AA" w14:textId="55C63EF8" w:rsidR="00341E42" w:rsidRPr="003506E5" w:rsidRDefault="00341E42" w:rsidP="00E94AF2">
            <w:pPr>
              <w:pStyle w:val="BodyText"/>
              <w:spacing w:before="40" w:after="40" w:line="240" w:lineRule="auto"/>
              <w:rPr>
                <w:sz w:val="20"/>
                <w:szCs w:val="20"/>
              </w:rPr>
            </w:pPr>
            <w:r w:rsidRPr="003506E5">
              <w:rPr>
                <w:sz w:val="20"/>
                <w:szCs w:val="20"/>
              </w:rPr>
              <w:t>Average length of stay</w:t>
            </w:r>
          </w:p>
        </w:tc>
      </w:tr>
      <w:tr w:rsidR="00DE3320" w:rsidRPr="003506E5" w14:paraId="0A40BDF3" w14:textId="77777777" w:rsidTr="006A5779">
        <w:tc>
          <w:tcPr>
            <w:tcW w:w="1980" w:type="dxa"/>
          </w:tcPr>
          <w:p w14:paraId="557A2BA9" w14:textId="13FEE600" w:rsidR="00DE3320" w:rsidRPr="003506E5" w:rsidRDefault="00DE3320" w:rsidP="00E94AF2">
            <w:pPr>
              <w:pStyle w:val="BodyText"/>
              <w:spacing w:before="40" w:after="40" w:line="240" w:lineRule="auto"/>
              <w:rPr>
                <w:sz w:val="20"/>
                <w:szCs w:val="20"/>
              </w:rPr>
            </w:pPr>
            <w:r w:rsidRPr="003506E5">
              <w:rPr>
                <w:sz w:val="20"/>
                <w:szCs w:val="20"/>
              </w:rPr>
              <w:t>COVID</w:t>
            </w:r>
          </w:p>
        </w:tc>
        <w:tc>
          <w:tcPr>
            <w:tcW w:w="7037" w:type="dxa"/>
          </w:tcPr>
          <w:p w14:paraId="4AE9E69C" w14:textId="272093D5" w:rsidR="00DE3320" w:rsidRPr="003506E5" w:rsidRDefault="00DE3320" w:rsidP="00E94AF2">
            <w:pPr>
              <w:pStyle w:val="BodyText"/>
              <w:spacing w:before="40" w:after="40" w:line="240" w:lineRule="auto"/>
              <w:rPr>
                <w:sz w:val="20"/>
                <w:szCs w:val="20"/>
              </w:rPr>
            </w:pPr>
            <w:r w:rsidRPr="003506E5">
              <w:rPr>
                <w:sz w:val="20"/>
                <w:szCs w:val="20"/>
              </w:rPr>
              <w:t>Corona Virus Disease</w:t>
            </w:r>
          </w:p>
        </w:tc>
      </w:tr>
      <w:tr w:rsidR="00DE3320" w:rsidRPr="003506E5" w14:paraId="45D45C15" w14:textId="77777777" w:rsidTr="006A5779">
        <w:tc>
          <w:tcPr>
            <w:tcW w:w="1980" w:type="dxa"/>
          </w:tcPr>
          <w:p w14:paraId="535CF702" w14:textId="14027D3E" w:rsidR="00DE3320" w:rsidRPr="003506E5" w:rsidRDefault="00DE3320" w:rsidP="00E94AF2">
            <w:pPr>
              <w:pStyle w:val="BodyText"/>
              <w:spacing w:before="40" w:after="40" w:line="240" w:lineRule="auto"/>
              <w:rPr>
                <w:sz w:val="20"/>
                <w:szCs w:val="20"/>
              </w:rPr>
            </w:pPr>
            <w:r w:rsidRPr="003506E5">
              <w:rPr>
                <w:sz w:val="20"/>
                <w:szCs w:val="20"/>
              </w:rPr>
              <w:t>BISP</w:t>
            </w:r>
          </w:p>
        </w:tc>
        <w:tc>
          <w:tcPr>
            <w:tcW w:w="7037" w:type="dxa"/>
          </w:tcPr>
          <w:p w14:paraId="307CFBCB" w14:textId="4BFEE419" w:rsidR="00DE3320" w:rsidRPr="003506E5" w:rsidRDefault="00DE3320" w:rsidP="00E94AF2">
            <w:pPr>
              <w:pStyle w:val="BodyText"/>
              <w:spacing w:before="40" w:after="40" w:line="240" w:lineRule="auto"/>
              <w:rPr>
                <w:sz w:val="20"/>
                <w:szCs w:val="20"/>
              </w:rPr>
            </w:pPr>
            <w:r w:rsidRPr="003506E5">
              <w:rPr>
                <w:sz w:val="20"/>
                <w:szCs w:val="20"/>
              </w:rPr>
              <w:t>Benazir Income Support Programme</w:t>
            </w:r>
          </w:p>
        </w:tc>
      </w:tr>
      <w:tr w:rsidR="00EB1301" w:rsidRPr="003506E5" w14:paraId="1D6CF068" w14:textId="77777777" w:rsidTr="006A5779">
        <w:tc>
          <w:tcPr>
            <w:tcW w:w="1980" w:type="dxa"/>
          </w:tcPr>
          <w:p w14:paraId="3C524D8F" w14:textId="77777777" w:rsidR="00EB1301" w:rsidRPr="003506E5" w:rsidRDefault="00EB1301" w:rsidP="00E94AF2">
            <w:pPr>
              <w:pStyle w:val="BodyText"/>
              <w:spacing w:before="40" w:after="40" w:line="240" w:lineRule="auto"/>
              <w:rPr>
                <w:sz w:val="20"/>
                <w:szCs w:val="20"/>
              </w:rPr>
            </w:pPr>
            <w:r w:rsidRPr="003506E5">
              <w:rPr>
                <w:sz w:val="20"/>
                <w:szCs w:val="20"/>
              </w:rPr>
              <w:t>DoH</w:t>
            </w:r>
          </w:p>
        </w:tc>
        <w:tc>
          <w:tcPr>
            <w:tcW w:w="7037" w:type="dxa"/>
          </w:tcPr>
          <w:p w14:paraId="3C76321A" w14:textId="77777777" w:rsidR="00EB1301" w:rsidRPr="003506E5" w:rsidRDefault="00EB1301" w:rsidP="00E94AF2">
            <w:pPr>
              <w:pStyle w:val="BodyText"/>
              <w:spacing w:before="40" w:after="40" w:line="240" w:lineRule="auto"/>
              <w:rPr>
                <w:sz w:val="20"/>
                <w:szCs w:val="20"/>
              </w:rPr>
            </w:pPr>
            <w:r w:rsidRPr="003506E5">
              <w:rPr>
                <w:sz w:val="20"/>
                <w:szCs w:val="20"/>
              </w:rPr>
              <w:t>Department of Health</w:t>
            </w:r>
          </w:p>
        </w:tc>
      </w:tr>
      <w:tr w:rsidR="00DF7F2D" w:rsidRPr="003506E5" w14:paraId="6C0B9549" w14:textId="77777777" w:rsidTr="006A5779">
        <w:tc>
          <w:tcPr>
            <w:tcW w:w="1980" w:type="dxa"/>
          </w:tcPr>
          <w:p w14:paraId="774F7AE7" w14:textId="77777777" w:rsidR="00DF7F2D" w:rsidRPr="003506E5" w:rsidRDefault="00EB1301" w:rsidP="00E94AF2">
            <w:pPr>
              <w:pStyle w:val="BodyText"/>
              <w:spacing w:before="40" w:after="40" w:line="240" w:lineRule="auto"/>
              <w:rPr>
                <w:sz w:val="20"/>
                <w:szCs w:val="20"/>
              </w:rPr>
            </w:pPr>
            <w:r w:rsidRPr="003506E5">
              <w:rPr>
                <w:sz w:val="20"/>
                <w:szCs w:val="20"/>
              </w:rPr>
              <w:t>EAD</w:t>
            </w:r>
          </w:p>
        </w:tc>
        <w:tc>
          <w:tcPr>
            <w:tcW w:w="7037" w:type="dxa"/>
          </w:tcPr>
          <w:p w14:paraId="3F2AE7CE" w14:textId="77777777" w:rsidR="00DF7F2D" w:rsidRPr="003506E5" w:rsidRDefault="00EB1301" w:rsidP="00E94AF2">
            <w:pPr>
              <w:pStyle w:val="BodyText"/>
              <w:spacing w:before="40" w:after="40" w:line="240" w:lineRule="auto"/>
              <w:rPr>
                <w:sz w:val="20"/>
                <w:szCs w:val="20"/>
              </w:rPr>
            </w:pPr>
            <w:r w:rsidRPr="003506E5">
              <w:rPr>
                <w:sz w:val="20"/>
                <w:szCs w:val="20"/>
              </w:rPr>
              <w:t>Economic Affairs Division</w:t>
            </w:r>
          </w:p>
        </w:tc>
      </w:tr>
      <w:tr w:rsidR="00EB1301" w:rsidRPr="003506E5" w14:paraId="14A72ECB" w14:textId="77777777" w:rsidTr="006A5779">
        <w:tc>
          <w:tcPr>
            <w:tcW w:w="1980" w:type="dxa"/>
          </w:tcPr>
          <w:p w14:paraId="136B0E5A" w14:textId="77777777" w:rsidR="00EB1301" w:rsidRPr="003506E5" w:rsidRDefault="00EB1301" w:rsidP="00E94AF2">
            <w:pPr>
              <w:pStyle w:val="BodyText"/>
              <w:spacing w:before="40" w:after="40" w:line="240" w:lineRule="auto"/>
              <w:rPr>
                <w:sz w:val="20"/>
                <w:szCs w:val="20"/>
              </w:rPr>
            </w:pPr>
            <w:r w:rsidRPr="003506E5">
              <w:rPr>
                <w:sz w:val="20"/>
                <w:szCs w:val="20"/>
              </w:rPr>
              <w:t>FY</w:t>
            </w:r>
          </w:p>
        </w:tc>
        <w:tc>
          <w:tcPr>
            <w:tcW w:w="7037" w:type="dxa"/>
          </w:tcPr>
          <w:p w14:paraId="0D125DDA" w14:textId="77777777" w:rsidR="00EB1301" w:rsidRPr="003506E5" w:rsidRDefault="00EB1301" w:rsidP="00E94AF2">
            <w:pPr>
              <w:pStyle w:val="BodyText"/>
              <w:spacing w:before="40" w:after="40" w:line="240" w:lineRule="auto"/>
              <w:rPr>
                <w:sz w:val="20"/>
                <w:szCs w:val="20"/>
              </w:rPr>
            </w:pPr>
            <w:r w:rsidRPr="003506E5">
              <w:rPr>
                <w:sz w:val="20"/>
                <w:szCs w:val="20"/>
              </w:rPr>
              <w:t>Financial Year</w:t>
            </w:r>
          </w:p>
        </w:tc>
      </w:tr>
      <w:tr w:rsidR="00DF7F2D" w:rsidRPr="003506E5" w14:paraId="50852539" w14:textId="77777777" w:rsidTr="006A5779">
        <w:tc>
          <w:tcPr>
            <w:tcW w:w="1980" w:type="dxa"/>
          </w:tcPr>
          <w:p w14:paraId="6CBAD6DE" w14:textId="77777777" w:rsidR="00DF7F2D" w:rsidRPr="003506E5" w:rsidRDefault="001C636D" w:rsidP="00E94AF2">
            <w:pPr>
              <w:pStyle w:val="BodyText"/>
              <w:spacing w:before="40" w:after="40" w:line="240" w:lineRule="auto"/>
              <w:rPr>
                <w:sz w:val="20"/>
                <w:szCs w:val="20"/>
              </w:rPr>
            </w:pPr>
            <w:r w:rsidRPr="003506E5">
              <w:rPr>
                <w:sz w:val="20"/>
                <w:szCs w:val="20"/>
              </w:rPr>
              <w:t>GB</w:t>
            </w:r>
          </w:p>
        </w:tc>
        <w:tc>
          <w:tcPr>
            <w:tcW w:w="7037" w:type="dxa"/>
          </w:tcPr>
          <w:p w14:paraId="56D1FA88" w14:textId="77777777" w:rsidR="00DF7F2D" w:rsidRPr="003506E5" w:rsidRDefault="001C636D" w:rsidP="00E94AF2">
            <w:pPr>
              <w:pStyle w:val="BodyText"/>
              <w:spacing w:before="40" w:after="40" w:line="240" w:lineRule="auto"/>
              <w:rPr>
                <w:sz w:val="20"/>
                <w:szCs w:val="20"/>
              </w:rPr>
            </w:pPr>
            <w:r w:rsidRPr="003506E5">
              <w:rPr>
                <w:sz w:val="20"/>
                <w:szCs w:val="20"/>
              </w:rPr>
              <w:t>Gilgit Baltistan</w:t>
            </w:r>
          </w:p>
        </w:tc>
      </w:tr>
      <w:tr w:rsidR="008A082E" w:rsidRPr="003506E5" w14:paraId="6DF58850" w14:textId="77777777" w:rsidTr="006A5779">
        <w:tc>
          <w:tcPr>
            <w:tcW w:w="1980" w:type="dxa"/>
          </w:tcPr>
          <w:p w14:paraId="3FDDDF65" w14:textId="2CB36BFA" w:rsidR="008A082E" w:rsidRPr="003506E5" w:rsidRDefault="008A082E" w:rsidP="00E94AF2">
            <w:pPr>
              <w:pStyle w:val="BodyText"/>
              <w:spacing w:before="40" w:after="40" w:line="240" w:lineRule="auto"/>
              <w:rPr>
                <w:sz w:val="20"/>
                <w:szCs w:val="20"/>
              </w:rPr>
            </w:pPr>
            <w:r w:rsidRPr="003506E5">
              <w:rPr>
                <w:sz w:val="20"/>
                <w:szCs w:val="20"/>
              </w:rPr>
              <w:t>GoGB</w:t>
            </w:r>
          </w:p>
        </w:tc>
        <w:tc>
          <w:tcPr>
            <w:tcW w:w="7037" w:type="dxa"/>
          </w:tcPr>
          <w:p w14:paraId="3DCFF4F7" w14:textId="22637C28" w:rsidR="008A082E" w:rsidRPr="003506E5" w:rsidRDefault="008A082E" w:rsidP="00E94AF2">
            <w:pPr>
              <w:pStyle w:val="BodyText"/>
              <w:spacing w:before="40" w:after="40" w:line="240" w:lineRule="auto"/>
              <w:rPr>
                <w:sz w:val="20"/>
                <w:szCs w:val="20"/>
              </w:rPr>
            </w:pPr>
            <w:r w:rsidRPr="003506E5">
              <w:rPr>
                <w:sz w:val="20"/>
                <w:szCs w:val="20"/>
              </w:rPr>
              <w:t>Government of Gilgit Baltistan</w:t>
            </w:r>
          </w:p>
        </w:tc>
      </w:tr>
      <w:tr w:rsidR="008A082E" w:rsidRPr="003506E5" w14:paraId="7A75FC02" w14:textId="77777777" w:rsidTr="006A5779">
        <w:tc>
          <w:tcPr>
            <w:tcW w:w="1980" w:type="dxa"/>
          </w:tcPr>
          <w:p w14:paraId="0432D6FC" w14:textId="7C7BBBB1" w:rsidR="008A082E" w:rsidRPr="003506E5" w:rsidRDefault="008A082E" w:rsidP="00E94AF2">
            <w:pPr>
              <w:pStyle w:val="BodyText"/>
              <w:spacing w:before="40" w:after="40" w:line="240" w:lineRule="auto"/>
              <w:rPr>
                <w:sz w:val="20"/>
                <w:szCs w:val="20"/>
              </w:rPr>
            </w:pPr>
            <w:r w:rsidRPr="003506E5">
              <w:rPr>
                <w:sz w:val="20"/>
                <w:szCs w:val="20"/>
              </w:rPr>
              <w:t>GoKP</w:t>
            </w:r>
          </w:p>
        </w:tc>
        <w:tc>
          <w:tcPr>
            <w:tcW w:w="7037" w:type="dxa"/>
          </w:tcPr>
          <w:p w14:paraId="2D6E45BC" w14:textId="72579986" w:rsidR="008A082E" w:rsidRPr="003506E5" w:rsidRDefault="008A082E" w:rsidP="00E94AF2">
            <w:pPr>
              <w:pStyle w:val="BodyText"/>
              <w:spacing w:before="40" w:after="40" w:line="240" w:lineRule="auto"/>
              <w:rPr>
                <w:sz w:val="20"/>
                <w:szCs w:val="20"/>
              </w:rPr>
            </w:pPr>
            <w:r w:rsidRPr="003506E5">
              <w:rPr>
                <w:sz w:val="20"/>
                <w:szCs w:val="20"/>
              </w:rPr>
              <w:t>Government of Khyber Pakhtunkhwa</w:t>
            </w:r>
          </w:p>
        </w:tc>
      </w:tr>
      <w:tr w:rsidR="00EB1301" w:rsidRPr="003506E5" w14:paraId="5970F6B7" w14:textId="77777777" w:rsidTr="006A5779">
        <w:tc>
          <w:tcPr>
            <w:tcW w:w="1980" w:type="dxa"/>
          </w:tcPr>
          <w:p w14:paraId="1EF1D22D" w14:textId="77777777" w:rsidR="00EB1301" w:rsidRPr="003506E5" w:rsidRDefault="00EB1301" w:rsidP="00E94AF2">
            <w:pPr>
              <w:pStyle w:val="BodyText"/>
              <w:spacing w:before="40" w:after="40" w:line="240" w:lineRule="auto"/>
              <w:rPr>
                <w:sz w:val="20"/>
                <w:szCs w:val="20"/>
              </w:rPr>
            </w:pPr>
            <w:r w:rsidRPr="003506E5">
              <w:rPr>
                <w:sz w:val="20"/>
                <w:szCs w:val="20"/>
              </w:rPr>
              <w:t>HDU</w:t>
            </w:r>
          </w:p>
        </w:tc>
        <w:tc>
          <w:tcPr>
            <w:tcW w:w="7037" w:type="dxa"/>
          </w:tcPr>
          <w:p w14:paraId="3E18D35A" w14:textId="77777777" w:rsidR="00EB1301" w:rsidRPr="003506E5" w:rsidRDefault="009946B4" w:rsidP="00E94AF2">
            <w:pPr>
              <w:pStyle w:val="BodyText"/>
              <w:spacing w:before="40" w:after="40" w:line="240" w:lineRule="auto"/>
              <w:rPr>
                <w:sz w:val="20"/>
                <w:szCs w:val="20"/>
              </w:rPr>
            </w:pPr>
            <w:r w:rsidRPr="003506E5">
              <w:rPr>
                <w:sz w:val="20"/>
                <w:szCs w:val="20"/>
              </w:rPr>
              <w:t>High-</w:t>
            </w:r>
            <w:r w:rsidR="00F44D8F" w:rsidRPr="003506E5">
              <w:rPr>
                <w:sz w:val="20"/>
                <w:szCs w:val="20"/>
              </w:rPr>
              <w:t>D</w:t>
            </w:r>
            <w:r w:rsidRPr="003506E5">
              <w:rPr>
                <w:sz w:val="20"/>
                <w:szCs w:val="20"/>
              </w:rPr>
              <w:t>ependency Unit</w:t>
            </w:r>
          </w:p>
        </w:tc>
      </w:tr>
      <w:tr w:rsidR="00EB1301" w:rsidRPr="003506E5" w14:paraId="133FB4D4" w14:textId="77777777" w:rsidTr="006A5779">
        <w:tc>
          <w:tcPr>
            <w:tcW w:w="1980" w:type="dxa"/>
          </w:tcPr>
          <w:p w14:paraId="5DB5AE35" w14:textId="77777777" w:rsidR="00EB1301" w:rsidRPr="003506E5" w:rsidRDefault="00EB1301" w:rsidP="00E94AF2">
            <w:pPr>
              <w:pStyle w:val="BodyText"/>
              <w:spacing w:before="40" w:after="40" w:line="240" w:lineRule="auto"/>
              <w:rPr>
                <w:sz w:val="20"/>
                <w:szCs w:val="20"/>
              </w:rPr>
            </w:pPr>
            <w:r w:rsidRPr="003506E5">
              <w:rPr>
                <w:sz w:val="20"/>
                <w:szCs w:val="20"/>
              </w:rPr>
              <w:t>ICU</w:t>
            </w:r>
          </w:p>
        </w:tc>
        <w:tc>
          <w:tcPr>
            <w:tcW w:w="7037" w:type="dxa"/>
          </w:tcPr>
          <w:p w14:paraId="1DE91E64" w14:textId="77777777" w:rsidR="00EB1301" w:rsidRPr="003506E5" w:rsidRDefault="009946B4" w:rsidP="00E94AF2">
            <w:pPr>
              <w:pStyle w:val="BodyText"/>
              <w:spacing w:before="40" w:after="40" w:line="240" w:lineRule="auto"/>
              <w:rPr>
                <w:sz w:val="20"/>
                <w:szCs w:val="20"/>
              </w:rPr>
            </w:pPr>
            <w:r w:rsidRPr="003506E5">
              <w:rPr>
                <w:sz w:val="20"/>
                <w:szCs w:val="20"/>
              </w:rPr>
              <w:t>Intensive Care Unit</w:t>
            </w:r>
          </w:p>
        </w:tc>
      </w:tr>
      <w:tr w:rsidR="00EB1301" w:rsidRPr="003506E5" w14:paraId="59A7CC91" w14:textId="77777777" w:rsidTr="006A5779">
        <w:tc>
          <w:tcPr>
            <w:tcW w:w="1980" w:type="dxa"/>
          </w:tcPr>
          <w:p w14:paraId="0E08DBF8" w14:textId="77777777" w:rsidR="00EB1301" w:rsidRPr="003506E5" w:rsidRDefault="00EB1301" w:rsidP="00E94AF2">
            <w:pPr>
              <w:pStyle w:val="BodyText"/>
              <w:spacing w:before="40" w:after="40" w:line="240" w:lineRule="auto"/>
              <w:rPr>
                <w:sz w:val="20"/>
                <w:szCs w:val="20"/>
              </w:rPr>
            </w:pPr>
            <w:r w:rsidRPr="003506E5">
              <w:rPr>
                <w:sz w:val="20"/>
                <w:szCs w:val="20"/>
              </w:rPr>
              <w:t>IMF</w:t>
            </w:r>
          </w:p>
        </w:tc>
        <w:tc>
          <w:tcPr>
            <w:tcW w:w="7037" w:type="dxa"/>
          </w:tcPr>
          <w:p w14:paraId="04EB805B" w14:textId="77777777" w:rsidR="00EB1301" w:rsidRPr="003506E5" w:rsidRDefault="00EB1301" w:rsidP="00E94AF2">
            <w:pPr>
              <w:pStyle w:val="BodyText"/>
              <w:spacing w:before="40" w:after="40" w:line="240" w:lineRule="auto"/>
              <w:rPr>
                <w:sz w:val="20"/>
                <w:szCs w:val="20"/>
              </w:rPr>
            </w:pPr>
            <w:r w:rsidRPr="003506E5">
              <w:rPr>
                <w:sz w:val="20"/>
                <w:szCs w:val="20"/>
              </w:rPr>
              <w:t>International Monetary Fund</w:t>
            </w:r>
          </w:p>
        </w:tc>
      </w:tr>
      <w:tr w:rsidR="00CC7AB5" w:rsidRPr="003506E5" w14:paraId="191A0CF8" w14:textId="77777777" w:rsidTr="006A5779">
        <w:tc>
          <w:tcPr>
            <w:tcW w:w="1980" w:type="dxa"/>
          </w:tcPr>
          <w:p w14:paraId="44439F74" w14:textId="073F0437" w:rsidR="00CC7AB5" w:rsidRPr="003506E5" w:rsidRDefault="00CC7AB5" w:rsidP="00E94AF2">
            <w:pPr>
              <w:pStyle w:val="BodyText"/>
              <w:spacing w:before="40" w:after="40" w:line="240" w:lineRule="auto"/>
              <w:rPr>
                <w:sz w:val="20"/>
                <w:szCs w:val="20"/>
              </w:rPr>
            </w:pPr>
            <w:r w:rsidRPr="003506E5">
              <w:rPr>
                <w:sz w:val="20"/>
                <w:szCs w:val="20"/>
              </w:rPr>
              <w:t>JLI</w:t>
            </w:r>
          </w:p>
        </w:tc>
        <w:tc>
          <w:tcPr>
            <w:tcW w:w="7037" w:type="dxa"/>
          </w:tcPr>
          <w:p w14:paraId="7149038C" w14:textId="17916A1B" w:rsidR="00CC7AB5" w:rsidRPr="003506E5" w:rsidRDefault="00CC7AB5" w:rsidP="00CC7AB5">
            <w:pPr>
              <w:pStyle w:val="BodyText"/>
              <w:spacing w:before="40" w:after="40" w:line="240" w:lineRule="auto"/>
              <w:rPr>
                <w:sz w:val="20"/>
                <w:szCs w:val="20"/>
              </w:rPr>
            </w:pPr>
            <w:r w:rsidRPr="003506E5">
              <w:rPr>
                <w:sz w:val="20"/>
                <w:szCs w:val="20"/>
              </w:rPr>
              <w:t>Jubilee Life Insurance</w:t>
            </w:r>
          </w:p>
        </w:tc>
      </w:tr>
      <w:tr w:rsidR="001C636D" w:rsidRPr="003506E5" w14:paraId="1C476B48" w14:textId="77777777" w:rsidTr="006A5779">
        <w:tc>
          <w:tcPr>
            <w:tcW w:w="1980" w:type="dxa"/>
          </w:tcPr>
          <w:p w14:paraId="16A11FFC" w14:textId="77777777" w:rsidR="001C636D" w:rsidRPr="003506E5" w:rsidRDefault="001C636D" w:rsidP="00E94AF2">
            <w:pPr>
              <w:pStyle w:val="BodyText"/>
              <w:spacing w:before="40" w:after="40" w:line="240" w:lineRule="auto"/>
              <w:rPr>
                <w:sz w:val="20"/>
                <w:szCs w:val="20"/>
              </w:rPr>
            </w:pPr>
            <w:r w:rsidRPr="003506E5">
              <w:rPr>
                <w:sz w:val="20"/>
                <w:szCs w:val="20"/>
              </w:rPr>
              <w:t>KfW</w:t>
            </w:r>
          </w:p>
        </w:tc>
        <w:tc>
          <w:tcPr>
            <w:tcW w:w="7037" w:type="dxa"/>
          </w:tcPr>
          <w:p w14:paraId="55BBAF78" w14:textId="77777777" w:rsidR="001C636D" w:rsidRPr="003506E5" w:rsidRDefault="001C636D" w:rsidP="00E94AF2">
            <w:pPr>
              <w:pStyle w:val="BodyText"/>
              <w:spacing w:before="40" w:after="40" w:line="240" w:lineRule="auto"/>
              <w:rPr>
                <w:sz w:val="20"/>
                <w:szCs w:val="20"/>
              </w:rPr>
            </w:pPr>
            <w:r w:rsidRPr="003506E5">
              <w:rPr>
                <w:sz w:val="20"/>
                <w:szCs w:val="20"/>
              </w:rPr>
              <w:t>Kreditanstalt für Wiederaufbau</w:t>
            </w:r>
          </w:p>
        </w:tc>
      </w:tr>
      <w:tr w:rsidR="00DF7F2D" w:rsidRPr="003506E5" w14:paraId="71F9E58C" w14:textId="77777777" w:rsidTr="006A5779">
        <w:tc>
          <w:tcPr>
            <w:tcW w:w="1980" w:type="dxa"/>
          </w:tcPr>
          <w:p w14:paraId="7AEB7714" w14:textId="77777777" w:rsidR="00DF7F2D" w:rsidRPr="003506E5" w:rsidRDefault="001C636D" w:rsidP="00E94AF2">
            <w:pPr>
              <w:pStyle w:val="BodyText"/>
              <w:spacing w:before="40" w:after="40" w:line="240" w:lineRule="auto"/>
              <w:rPr>
                <w:sz w:val="20"/>
                <w:szCs w:val="20"/>
              </w:rPr>
            </w:pPr>
            <w:r w:rsidRPr="003506E5">
              <w:rPr>
                <w:sz w:val="20"/>
                <w:szCs w:val="20"/>
              </w:rPr>
              <w:t>KP</w:t>
            </w:r>
          </w:p>
        </w:tc>
        <w:tc>
          <w:tcPr>
            <w:tcW w:w="7037" w:type="dxa"/>
          </w:tcPr>
          <w:p w14:paraId="364436DF" w14:textId="77777777" w:rsidR="00DF7F2D" w:rsidRPr="003506E5" w:rsidRDefault="001C636D" w:rsidP="00E94AF2">
            <w:pPr>
              <w:pStyle w:val="BodyText"/>
              <w:spacing w:before="40" w:after="40" w:line="240" w:lineRule="auto"/>
              <w:rPr>
                <w:sz w:val="20"/>
                <w:szCs w:val="20"/>
              </w:rPr>
            </w:pPr>
            <w:r w:rsidRPr="003506E5">
              <w:rPr>
                <w:sz w:val="20"/>
                <w:szCs w:val="20"/>
              </w:rPr>
              <w:t>Khyber Pakhtunkhwa</w:t>
            </w:r>
          </w:p>
        </w:tc>
      </w:tr>
      <w:tr w:rsidR="00EB1301" w:rsidRPr="003506E5" w14:paraId="71B800E5" w14:textId="77777777" w:rsidTr="006A5779">
        <w:tc>
          <w:tcPr>
            <w:tcW w:w="1980" w:type="dxa"/>
          </w:tcPr>
          <w:p w14:paraId="1AE81237" w14:textId="77777777" w:rsidR="00EB1301" w:rsidRPr="003506E5" w:rsidRDefault="00EB1301" w:rsidP="00E94AF2">
            <w:pPr>
              <w:pStyle w:val="BodyText"/>
              <w:spacing w:before="40" w:after="40" w:line="240" w:lineRule="auto"/>
              <w:rPr>
                <w:sz w:val="20"/>
                <w:szCs w:val="20"/>
              </w:rPr>
            </w:pPr>
            <w:r w:rsidRPr="003506E5">
              <w:rPr>
                <w:sz w:val="20"/>
                <w:szCs w:val="20"/>
              </w:rPr>
              <w:t>LHW</w:t>
            </w:r>
          </w:p>
        </w:tc>
        <w:tc>
          <w:tcPr>
            <w:tcW w:w="7037" w:type="dxa"/>
          </w:tcPr>
          <w:p w14:paraId="540F8040" w14:textId="77777777" w:rsidR="00EB1301" w:rsidRPr="003506E5" w:rsidRDefault="00EB1301" w:rsidP="00E94AF2">
            <w:pPr>
              <w:pStyle w:val="BodyText"/>
              <w:spacing w:before="40" w:after="40" w:line="240" w:lineRule="auto"/>
              <w:rPr>
                <w:sz w:val="20"/>
                <w:szCs w:val="20"/>
              </w:rPr>
            </w:pPr>
            <w:r w:rsidRPr="003506E5">
              <w:rPr>
                <w:sz w:val="20"/>
                <w:szCs w:val="20"/>
              </w:rPr>
              <w:t>Lady Health Worker</w:t>
            </w:r>
          </w:p>
        </w:tc>
      </w:tr>
      <w:tr w:rsidR="00EB1301" w:rsidRPr="003506E5" w14:paraId="44FCE3B4" w14:textId="77777777" w:rsidTr="006A5779">
        <w:tc>
          <w:tcPr>
            <w:tcW w:w="1980" w:type="dxa"/>
          </w:tcPr>
          <w:p w14:paraId="3B0755BD" w14:textId="77777777" w:rsidR="00EB1301" w:rsidRPr="003506E5" w:rsidRDefault="00EB1301" w:rsidP="00E94AF2">
            <w:pPr>
              <w:pStyle w:val="BodyText"/>
              <w:spacing w:before="40" w:after="40" w:line="240" w:lineRule="auto"/>
              <w:rPr>
                <w:sz w:val="20"/>
                <w:szCs w:val="20"/>
              </w:rPr>
            </w:pPr>
            <w:r w:rsidRPr="003506E5">
              <w:rPr>
                <w:sz w:val="20"/>
                <w:szCs w:val="20"/>
              </w:rPr>
              <w:t>M&amp;E</w:t>
            </w:r>
          </w:p>
        </w:tc>
        <w:tc>
          <w:tcPr>
            <w:tcW w:w="7037" w:type="dxa"/>
          </w:tcPr>
          <w:p w14:paraId="237119F0" w14:textId="77777777" w:rsidR="00EB1301" w:rsidRPr="003506E5" w:rsidRDefault="00EB1301" w:rsidP="00E94AF2">
            <w:pPr>
              <w:pStyle w:val="BodyText"/>
              <w:spacing w:before="40" w:after="40" w:line="240" w:lineRule="auto"/>
              <w:rPr>
                <w:sz w:val="20"/>
                <w:szCs w:val="20"/>
              </w:rPr>
            </w:pPr>
            <w:r w:rsidRPr="003506E5">
              <w:rPr>
                <w:sz w:val="20"/>
                <w:szCs w:val="20"/>
              </w:rPr>
              <w:t>Monitoring &amp; Evaluation</w:t>
            </w:r>
          </w:p>
        </w:tc>
      </w:tr>
      <w:tr w:rsidR="008A082E" w:rsidRPr="003506E5" w14:paraId="5D7A3594" w14:textId="77777777" w:rsidTr="006A5779">
        <w:tc>
          <w:tcPr>
            <w:tcW w:w="1980" w:type="dxa"/>
          </w:tcPr>
          <w:p w14:paraId="7845840C" w14:textId="0AE9D030" w:rsidR="008A082E" w:rsidRPr="003506E5" w:rsidRDefault="008A082E" w:rsidP="00E94AF2">
            <w:pPr>
              <w:pStyle w:val="BodyText"/>
              <w:spacing w:before="40" w:after="40" w:line="240" w:lineRule="auto"/>
              <w:rPr>
                <w:sz w:val="20"/>
                <w:szCs w:val="20"/>
              </w:rPr>
            </w:pPr>
            <w:r w:rsidRPr="003506E5">
              <w:rPr>
                <w:sz w:val="20"/>
                <w:szCs w:val="20"/>
              </w:rPr>
              <w:t>MIS</w:t>
            </w:r>
          </w:p>
        </w:tc>
        <w:tc>
          <w:tcPr>
            <w:tcW w:w="7037" w:type="dxa"/>
          </w:tcPr>
          <w:p w14:paraId="1DE7B793" w14:textId="3079533D" w:rsidR="008A082E" w:rsidRPr="003506E5" w:rsidRDefault="008A082E" w:rsidP="00E94AF2">
            <w:pPr>
              <w:pStyle w:val="BodyText"/>
              <w:spacing w:before="40" w:after="40" w:line="240" w:lineRule="auto"/>
              <w:rPr>
                <w:sz w:val="20"/>
                <w:szCs w:val="20"/>
              </w:rPr>
            </w:pPr>
            <w:r w:rsidRPr="003506E5">
              <w:rPr>
                <w:sz w:val="20"/>
                <w:szCs w:val="20"/>
              </w:rPr>
              <w:t>Management Information System</w:t>
            </w:r>
          </w:p>
        </w:tc>
      </w:tr>
      <w:tr w:rsidR="001C636D" w:rsidRPr="003506E5" w14:paraId="485A7B73" w14:textId="77777777" w:rsidTr="006A5779">
        <w:tc>
          <w:tcPr>
            <w:tcW w:w="1980" w:type="dxa"/>
          </w:tcPr>
          <w:p w14:paraId="34B8503A" w14:textId="77777777" w:rsidR="001C636D" w:rsidRPr="003506E5" w:rsidRDefault="001C636D" w:rsidP="00E94AF2">
            <w:pPr>
              <w:pStyle w:val="BodyText"/>
              <w:spacing w:before="40" w:after="40" w:line="240" w:lineRule="auto"/>
              <w:rPr>
                <w:sz w:val="20"/>
                <w:szCs w:val="20"/>
              </w:rPr>
            </w:pPr>
            <w:r w:rsidRPr="003506E5">
              <w:rPr>
                <w:sz w:val="20"/>
                <w:szCs w:val="20"/>
              </w:rPr>
              <w:t>NO</w:t>
            </w:r>
          </w:p>
        </w:tc>
        <w:tc>
          <w:tcPr>
            <w:tcW w:w="7037" w:type="dxa"/>
          </w:tcPr>
          <w:p w14:paraId="1DEA80C3" w14:textId="77777777" w:rsidR="001C636D" w:rsidRPr="003506E5" w:rsidRDefault="001C636D" w:rsidP="00E94AF2">
            <w:pPr>
              <w:pStyle w:val="BodyText"/>
              <w:spacing w:before="40" w:after="40" w:line="240" w:lineRule="auto"/>
              <w:rPr>
                <w:sz w:val="20"/>
                <w:szCs w:val="20"/>
              </w:rPr>
            </w:pPr>
            <w:r w:rsidRPr="003506E5">
              <w:rPr>
                <w:sz w:val="20"/>
                <w:szCs w:val="20"/>
              </w:rPr>
              <w:t>No Objection</w:t>
            </w:r>
          </w:p>
        </w:tc>
      </w:tr>
      <w:tr w:rsidR="00EB1301" w:rsidRPr="003506E5" w14:paraId="118AEA25" w14:textId="77777777" w:rsidTr="006A5779">
        <w:tc>
          <w:tcPr>
            <w:tcW w:w="1980" w:type="dxa"/>
          </w:tcPr>
          <w:p w14:paraId="523ED6F9" w14:textId="77777777" w:rsidR="00EB1301" w:rsidRPr="003506E5" w:rsidRDefault="00EB1301" w:rsidP="00E94AF2">
            <w:pPr>
              <w:pStyle w:val="BodyText"/>
              <w:spacing w:before="40" w:after="40" w:line="240" w:lineRule="auto"/>
              <w:rPr>
                <w:sz w:val="20"/>
                <w:szCs w:val="20"/>
              </w:rPr>
            </w:pPr>
            <w:r w:rsidRPr="003506E5">
              <w:rPr>
                <w:sz w:val="20"/>
                <w:szCs w:val="20"/>
              </w:rPr>
              <w:t>OD</w:t>
            </w:r>
          </w:p>
        </w:tc>
        <w:tc>
          <w:tcPr>
            <w:tcW w:w="7037" w:type="dxa"/>
          </w:tcPr>
          <w:p w14:paraId="4FC9F363" w14:textId="77777777" w:rsidR="00EB1301" w:rsidRPr="003506E5" w:rsidRDefault="00EB1301" w:rsidP="00E94AF2">
            <w:pPr>
              <w:pStyle w:val="BodyText"/>
              <w:spacing w:before="40" w:after="40" w:line="240" w:lineRule="auto"/>
              <w:rPr>
                <w:sz w:val="20"/>
                <w:szCs w:val="20"/>
              </w:rPr>
            </w:pPr>
            <w:r w:rsidRPr="003506E5">
              <w:rPr>
                <w:sz w:val="20"/>
                <w:szCs w:val="20"/>
              </w:rPr>
              <w:t>Organisational Development</w:t>
            </w:r>
          </w:p>
        </w:tc>
      </w:tr>
      <w:tr w:rsidR="00DF7F2D" w:rsidRPr="003506E5" w14:paraId="251E0B5C" w14:textId="77777777" w:rsidTr="006A5779">
        <w:tc>
          <w:tcPr>
            <w:tcW w:w="1980" w:type="dxa"/>
          </w:tcPr>
          <w:p w14:paraId="1945445E" w14:textId="77777777" w:rsidR="00DF7F2D" w:rsidRPr="003506E5" w:rsidRDefault="001C636D" w:rsidP="00E94AF2">
            <w:pPr>
              <w:pStyle w:val="BodyText"/>
              <w:spacing w:before="40" w:after="40" w:line="240" w:lineRule="auto"/>
              <w:rPr>
                <w:sz w:val="20"/>
                <w:szCs w:val="20"/>
              </w:rPr>
            </w:pPr>
            <w:r w:rsidRPr="003506E5">
              <w:rPr>
                <w:sz w:val="20"/>
                <w:szCs w:val="20"/>
              </w:rPr>
              <w:t>OPM</w:t>
            </w:r>
          </w:p>
        </w:tc>
        <w:tc>
          <w:tcPr>
            <w:tcW w:w="7037" w:type="dxa"/>
          </w:tcPr>
          <w:p w14:paraId="115C8319" w14:textId="77777777" w:rsidR="00DF7F2D" w:rsidRPr="003506E5" w:rsidRDefault="001C636D" w:rsidP="00E94AF2">
            <w:pPr>
              <w:pStyle w:val="BodyText"/>
              <w:spacing w:before="40" w:after="40" w:line="240" w:lineRule="auto"/>
              <w:rPr>
                <w:sz w:val="20"/>
                <w:szCs w:val="20"/>
              </w:rPr>
            </w:pPr>
            <w:r w:rsidRPr="003506E5">
              <w:rPr>
                <w:sz w:val="20"/>
                <w:szCs w:val="20"/>
              </w:rPr>
              <w:t>Oxford Policy Management</w:t>
            </w:r>
          </w:p>
        </w:tc>
      </w:tr>
      <w:tr w:rsidR="00DF7F2D" w:rsidRPr="003506E5" w14:paraId="6B3FA842" w14:textId="77777777" w:rsidTr="006A5779">
        <w:tc>
          <w:tcPr>
            <w:tcW w:w="1980" w:type="dxa"/>
          </w:tcPr>
          <w:p w14:paraId="0CA68185" w14:textId="77777777" w:rsidR="00DF7F2D" w:rsidRPr="003506E5" w:rsidRDefault="00EB1301" w:rsidP="00E94AF2">
            <w:pPr>
              <w:pStyle w:val="BodyText"/>
              <w:spacing w:before="40" w:after="40" w:line="240" w:lineRule="auto"/>
              <w:rPr>
                <w:sz w:val="20"/>
                <w:szCs w:val="20"/>
              </w:rPr>
            </w:pPr>
            <w:r w:rsidRPr="003506E5">
              <w:rPr>
                <w:sz w:val="20"/>
                <w:szCs w:val="20"/>
              </w:rPr>
              <w:t>PPRP</w:t>
            </w:r>
          </w:p>
        </w:tc>
        <w:tc>
          <w:tcPr>
            <w:tcW w:w="7037" w:type="dxa"/>
          </w:tcPr>
          <w:p w14:paraId="6AC38E86" w14:textId="77777777" w:rsidR="00DF7F2D" w:rsidRPr="003506E5" w:rsidRDefault="00EB1301" w:rsidP="00E94AF2">
            <w:pPr>
              <w:pStyle w:val="BodyText"/>
              <w:spacing w:before="40" w:after="40" w:line="240" w:lineRule="auto"/>
              <w:rPr>
                <w:sz w:val="20"/>
                <w:szCs w:val="20"/>
              </w:rPr>
            </w:pPr>
            <w:r w:rsidRPr="003506E5">
              <w:rPr>
                <w:sz w:val="20"/>
                <w:szCs w:val="20"/>
              </w:rPr>
              <w:t>Pakistan Preparedness and Response Plan</w:t>
            </w:r>
          </w:p>
        </w:tc>
      </w:tr>
      <w:tr w:rsidR="00EB1301" w:rsidRPr="003506E5" w14:paraId="28C60ACA" w14:textId="77777777" w:rsidTr="006A5779">
        <w:tc>
          <w:tcPr>
            <w:tcW w:w="1980" w:type="dxa"/>
          </w:tcPr>
          <w:p w14:paraId="0426D64E" w14:textId="77777777" w:rsidR="00EB1301" w:rsidRPr="003506E5" w:rsidRDefault="00EB1301" w:rsidP="00E94AF2">
            <w:pPr>
              <w:pStyle w:val="BodyText"/>
              <w:spacing w:before="40" w:after="40" w:line="240" w:lineRule="auto"/>
              <w:rPr>
                <w:sz w:val="20"/>
                <w:szCs w:val="20"/>
              </w:rPr>
            </w:pPr>
            <w:r w:rsidRPr="003506E5">
              <w:rPr>
                <w:sz w:val="20"/>
                <w:szCs w:val="20"/>
              </w:rPr>
              <w:t>SHPI</w:t>
            </w:r>
          </w:p>
        </w:tc>
        <w:tc>
          <w:tcPr>
            <w:tcW w:w="7037" w:type="dxa"/>
          </w:tcPr>
          <w:p w14:paraId="60F81838" w14:textId="77777777" w:rsidR="00EB1301" w:rsidRPr="003506E5" w:rsidRDefault="00EB1301" w:rsidP="00E94AF2">
            <w:pPr>
              <w:pStyle w:val="BodyText"/>
              <w:spacing w:before="40" w:after="40" w:line="240" w:lineRule="auto"/>
              <w:rPr>
                <w:sz w:val="20"/>
                <w:szCs w:val="20"/>
              </w:rPr>
            </w:pPr>
            <w:r w:rsidRPr="003506E5">
              <w:rPr>
                <w:sz w:val="20"/>
                <w:szCs w:val="20"/>
              </w:rPr>
              <w:t xml:space="preserve">Social Health Protection </w:t>
            </w:r>
            <w:r w:rsidR="00805C2F" w:rsidRPr="003506E5">
              <w:rPr>
                <w:sz w:val="20"/>
                <w:szCs w:val="20"/>
              </w:rPr>
              <w:t>Initiative</w:t>
            </w:r>
          </w:p>
        </w:tc>
      </w:tr>
      <w:tr w:rsidR="00EB1301" w:rsidRPr="003506E5" w14:paraId="7216EA47" w14:textId="77777777" w:rsidTr="006A5779">
        <w:tc>
          <w:tcPr>
            <w:tcW w:w="1980" w:type="dxa"/>
          </w:tcPr>
          <w:p w14:paraId="5098B72E" w14:textId="77777777" w:rsidR="00EB1301" w:rsidRPr="003506E5" w:rsidRDefault="00EB1301" w:rsidP="00E94AF2">
            <w:pPr>
              <w:pStyle w:val="BodyText"/>
              <w:spacing w:before="40" w:after="40" w:line="240" w:lineRule="auto"/>
              <w:rPr>
                <w:sz w:val="20"/>
                <w:szCs w:val="20"/>
              </w:rPr>
            </w:pPr>
            <w:r w:rsidRPr="003506E5">
              <w:rPr>
                <w:sz w:val="20"/>
                <w:szCs w:val="20"/>
              </w:rPr>
              <w:t>SLIC</w:t>
            </w:r>
          </w:p>
        </w:tc>
        <w:tc>
          <w:tcPr>
            <w:tcW w:w="7037" w:type="dxa"/>
          </w:tcPr>
          <w:p w14:paraId="0DB84AB6" w14:textId="77777777" w:rsidR="00EB1301" w:rsidRPr="003506E5" w:rsidRDefault="00EB1301" w:rsidP="00E94AF2">
            <w:pPr>
              <w:pStyle w:val="BodyText"/>
              <w:spacing w:before="40" w:after="40" w:line="240" w:lineRule="auto"/>
              <w:rPr>
                <w:sz w:val="20"/>
                <w:szCs w:val="20"/>
              </w:rPr>
            </w:pPr>
            <w:r w:rsidRPr="003506E5">
              <w:rPr>
                <w:sz w:val="20"/>
                <w:szCs w:val="20"/>
              </w:rPr>
              <w:t>State Life Insurance Company</w:t>
            </w:r>
          </w:p>
        </w:tc>
      </w:tr>
      <w:tr w:rsidR="00EB1301" w:rsidRPr="003506E5" w14:paraId="10E96D21" w14:textId="77777777" w:rsidTr="006A5779">
        <w:tc>
          <w:tcPr>
            <w:tcW w:w="1980" w:type="dxa"/>
          </w:tcPr>
          <w:p w14:paraId="74268E8A" w14:textId="77777777" w:rsidR="00EB1301" w:rsidRPr="003506E5" w:rsidRDefault="00EB1301" w:rsidP="00E94AF2">
            <w:pPr>
              <w:pStyle w:val="BodyText"/>
              <w:spacing w:before="40" w:after="40" w:line="240" w:lineRule="auto"/>
              <w:rPr>
                <w:sz w:val="20"/>
                <w:szCs w:val="20"/>
              </w:rPr>
            </w:pPr>
            <w:r w:rsidRPr="003506E5">
              <w:rPr>
                <w:sz w:val="20"/>
                <w:szCs w:val="20"/>
              </w:rPr>
              <w:t>TA</w:t>
            </w:r>
          </w:p>
        </w:tc>
        <w:tc>
          <w:tcPr>
            <w:tcW w:w="7037" w:type="dxa"/>
          </w:tcPr>
          <w:p w14:paraId="063741F1" w14:textId="77777777" w:rsidR="00EB1301" w:rsidRPr="003506E5" w:rsidRDefault="00EB1301" w:rsidP="00E94AF2">
            <w:pPr>
              <w:pStyle w:val="BodyText"/>
              <w:spacing w:before="40" w:after="40" w:line="240" w:lineRule="auto"/>
              <w:rPr>
                <w:sz w:val="20"/>
                <w:szCs w:val="20"/>
              </w:rPr>
            </w:pPr>
            <w:r w:rsidRPr="003506E5">
              <w:rPr>
                <w:sz w:val="20"/>
                <w:szCs w:val="20"/>
              </w:rPr>
              <w:t>Technical Assistance</w:t>
            </w:r>
          </w:p>
        </w:tc>
      </w:tr>
      <w:tr w:rsidR="00DF7F2D" w:rsidRPr="003506E5" w14:paraId="64E3174D" w14:textId="77777777" w:rsidTr="006A5779">
        <w:tc>
          <w:tcPr>
            <w:tcW w:w="1980" w:type="dxa"/>
          </w:tcPr>
          <w:p w14:paraId="660C55C4" w14:textId="77777777" w:rsidR="00DF7F2D" w:rsidRPr="003506E5" w:rsidRDefault="00EB1301" w:rsidP="00E94AF2">
            <w:pPr>
              <w:pStyle w:val="BodyText"/>
              <w:spacing w:before="40" w:after="40" w:line="240" w:lineRule="auto"/>
              <w:rPr>
                <w:sz w:val="20"/>
                <w:szCs w:val="20"/>
              </w:rPr>
            </w:pPr>
            <w:r w:rsidRPr="003506E5">
              <w:rPr>
                <w:sz w:val="20"/>
                <w:szCs w:val="20"/>
              </w:rPr>
              <w:t>UK</w:t>
            </w:r>
          </w:p>
        </w:tc>
        <w:tc>
          <w:tcPr>
            <w:tcW w:w="7037" w:type="dxa"/>
          </w:tcPr>
          <w:p w14:paraId="024324B0" w14:textId="77777777" w:rsidR="00DF7F2D" w:rsidRPr="003506E5" w:rsidRDefault="00EB1301" w:rsidP="00E94AF2">
            <w:pPr>
              <w:pStyle w:val="BodyText"/>
              <w:spacing w:before="40" w:after="40" w:line="240" w:lineRule="auto"/>
              <w:rPr>
                <w:sz w:val="20"/>
                <w:szCs w:val="20"/>
              </w:rPr>
            </w:pPr>
            <w:r w:rsidRPr="003506E5">
              <w:rPr>
                <w:sz w:val="20"/>
                <w:szCs w:val="20"/>
              </w:rPr>
              <w:t>United Kingdom</w:t>
            </w:r>
          </w:p>
        </w:tc>
      </w:tr>
      <w:tr w:rsidR="00EB1301" w:rsidRPr="003506E5" w14:paraId="7820ED72" w14:textId="77777777" w:rsidTr="006A5779">
        <w:tc>
          <w:tcPr>
            <w:tcW w:w="1980" w:type="dxa"/>
          </w:tcPr>
          <w:p w14:paraId="7701DAFC" w14:textId="77777777" w:rsidR="00EB1301" w:rsidRPr="003506E5" w:rsidRDefault="00EB1301" w:rsidP="00E94AF2">
            <w:pPr>
              <w:pStyle w:val="BodyText"/>
              <w:spacing w:before="40" w:after="40" w:line="240" w:lineRule="auto"/>
              <w:rPr>
                <w:sz w:val="20"/>
                <w:szCs w:val="20"/>
              </w:rPr>
            </w:pPr>
            <w:r w:rsidRPr="003506E5">
              <w:rPr>
                <w:sz w:val="20"/>
                <w:szCs w:val="20"/>
              </w:rPr>
              <w:t>UN</w:t>
            </w:r>
          </w:p>
        </w:tc>
        <w:tc>
          <w:tcPr>
            <w:tcW w:w="7037" w:type="dxa"/>
          </w:tcPr>
          <w:p w14:paraId="1D3AE99D" w14:textId="77777777" w:rsidR="00EB1301" w:rsidRPr="003506E5" w:rsidRDefault="00EB1301" w:rsidP="00E94AF2">
            <w:pPr>
              <w:pStyle w:val="BodyText"/>
              <w:spacing w:before="40" w:after="40" w:line="240" w:lineRule="auto"/>
              <w:rPr>
                <w:sz w:val="20"/>
                <w:szCs w:val="20"/>
              </w:rPr>
            </w:pPr>
            <w:r w:rsidRPr="003506E5">
              <w:rPr>
                <w:sz w:val="20"/>
                <w:szCs w:val="20"/>
              </w:rPr>
              <w:t>United Nations</w:t>
            </w:r>
          </w:p>
        </w:tc>
      </w:tr>
      <w:tr w:rsidR="00DF7F2D" w:rsidRPr="003506E5" w14:paraId="1FDB36E0" w14:textId="77777777" w:rsidTr="006A5779">
        <w:tc>
          <w:tcPr>
            <w:tcW w:w="1980" w:type="dxa"/>
          </w:tcPr>
          <w:p w14:paraId="22421E36" w14:textId="77777777" w:rsidR="00DF7F2D" w:rsidRPr="003506E5" w:rsidRDefault="00EB1301" w:rsidP="00E94AF2">
            <w:pPr>
              <w:pStyle w:val="BodyText"/>
              <w:spacing w:before="40" w:after="40" w:line="240" w:lineRule="auto"/>
              <w:rPr>
                <w:sz w:val="20"/>
                <w:szCs w:val="20"/>
              </w:rPr>
            </w:pPr>
            <w:r w:rsidRPr="003506E5">
              <w:rPr>
                <w:sz w:val="20"/>
                <w:szCs w:val="20"/>
              </w:rPr>
              <w:t>WHO</w:t>
            </w:r>
          </w:p>
        </w:tc>
        <w:tc>
          <w:tcPr>
            <w:tcW w:w="7037" w:type="dxa"/>
          </w:tcPr>
          <w:p w14:paraId="5D8DB164" w14:textId="77777777" w:rsidR="00DF7F2D" w:rsidRPr="003506E5" w:rsidRDefault="00EB1301" w:rsidP="00E94AF2">
            <w:pPr>
              <w:pStyle w:val="BodyText"/>
              <w:spacing w:before="40" w:after="40" w:line="240" w:lineRule="auto"/>
              <w:rPr>
                <w:sz w:val="20"/>
                <w:szCs w:val="20"/>
              </w:rPr>
            </w:pPr>
            <w:r w:rsidRPr="003506E5">
              <w:rPr>
                <w:sz w:val="20"/>
                <w:szCs w:val="20"/>
              </w:rPr>
              <w:t xml:space="preserve">World Health Organisation </w:t>
            </w:r>
          </w:p>
        </w:tc>
      </w:tr>
    </w:tbl>
    <w:p w14:paraId="37D4F848" w14:textId="77777777" w:rsidR="00DF7F2D" w:rsidRPr="003506E5" w:rsidRDefault="00DF7F2D" w:rsidP="00846A29">
      <w:pPr>
        <w:pStyle w:val="Prelim"/>
      </w:pPr>
    </w:p>
    <w:p w14:paraId="055BA72C" w14:textId="6CF08231" w:rsidR="00435227" w:rsidRPr="003506E5" w:rsidRDefault="00435227" w:rsidP="00A66896">
      <w:pPr>
        <w:pStyle w:val="BodyText"/>
      </w:pPr>
    </w:p>
    <w:p w14:paraId="04399B31" w14:textId="17908626" w:rsidR="00A66896" w:rsidRPr="003506E5" w:rsidRDefault="00A66896" w:rsidP="00A66896">
      <w:pPr>
        <w:pStyle w:val="BodyText"/>
      </w:pPr>
    </w:p>
    <w:p w14:paraId="666F2133" w14:textId="07EACCC8" w:rsidR="00123881" w:rsidRPr="003506E5" w:rsidRDefault="00123881" w:rsidP="00F366BE">
      <w:pPr>
        <w:pStyle w:val="Prelim"/>
      </w:pPr>
    </w:p>
    <w:p w14:paraId="01740EAF" w14:textId="77777777" w:rsidR="00123881" w:rsidRPr="003506E5" w:rsidRDefault="00123881" w:rsidP="00123881">
      <w:pPr>
        <w:pStyle w:val="BodyText"/>
      </w:pPr>
    </w:p>
    <w:p w14:paraId="2E610656" w14:textId="16031D93" w:rsidR="000517A9" w:rsidRPr="003506E5" w:rsidRDefault="000517A9" w:rsidP="000517A9">
      <w:pPr>
        <w:pStyle w:val="BodyText"/>
        <w:rPr>
          <w:lang w:eastAsia="en-US"/>
        </w:rPr>
      </w:pPr>
    </w:p>
    <w:p w14:paraId="5B3CD32E" w14:textId="77777777" w:rsidR="00BD6F76" w:rsidRPr="003506E5" w:rsidRDefault="00BD6F76" w:rsidP="00231BB7">
      <w:pPr>
        <w:pStyle w:val="BodyText"/>
      </w:pPr>
    </w:p>
    <w:p w14:paraId="477E5F8E" w14:textId="77777777" w:rsidR="007D4D3F" w:rsidRPr="003506E5" w:rsidRDefault="00DF7F2D" w:rsidP="007D4D3F">
      <w:pPr>
        <w:pStyle w:val="Heading1"/>
        <w:spacing w:line="276" w:lineRule="auto"/>
      </w:pPr>
      <w:bookmarkStart w:id="3" w:name="_Toc57215266"/>
      <w:r w:rsidRPr="003506E5">
        <w:lastRenderedPageBreak/>
        <w:t>Financial Report</w:t>
      </w:r>
      <w:bookmarkEnd w:id="3"/>
      <w:r w:rsidRPr="003506E5">
        <w:t xml:space="preserve"> </w:t>
      </w:r>
    </w:p>
    <w:p w14:paraId="09ACE873" w14:textId="77777777" w:rsidR="00F713C7" w:rsidRPr="003506E5" w:rsidRDefault="00F713C7" w:rsidP="00F713C7">
      <w:pPr>
        <w:rPr>
          <w:rFonts w:asciiTheme="minorBidi" w:hAnsiTheme="minorBidi"/>
        </w:rPr>
      </w:pPr>
      <w:r w:rsidRPr="003506E5">
        <w:rPr>
          <w:rFonts w:asciiTheme="minorBidi" w:hAnsiTheme="minorBidi"/>
        </w:rPr>
        <w:t>The following table depicts disbursement of funds in GB.</w:t>
      </w:r>
    </w:p>
    <w:p w14:paraId="495E48C9" w14:textId="7CF480F6" w:rsidR="00037E3B" w:rsidRPr="003506E5" w:rsidRDefault="00037E3B" w:rsidP="00037E3B">
      <w:pPr>
        <w:pStyle w:val="Caption"/>
      </w:pPr>
      <w:bookmarkStart w:id="4" w:name="_Toc57215221"/>
      <w:r w:rsidRPr="003506E5">
        <w:t xml:space="preserve">Table </w:t>
      </w:r>
      <w:r w:rsidR="00B76041" w:rsidRPr="003506E5">
        <w:fldChar w:fldCharType="begin"/>
      </w:r>
      <w:r w:rsidRPr="003506E5">
        <w:instrText xml:space="preserve"> SEQ Table \* ARABIC </w:instrText>
      </w:r>
      <w:r w:rsidR="00B76041" w:rsidRPr="003506E5">
        <w:fldChar w:fldCharType="separate"/>
      </w:r>
      <w:r w:rsidR="00AE4FA0">
        <w:rPr>
          <w:noProof/>
        </w:rPr>
        <w:t>1</w:t>
      </w:r>
      <w:r w:rsidR="00B76041" w:rsidRPr="003506E5">
        <w:fldChar w:fldCharType="end"/>
      </w:r>
      <w:r w:rsidRPr="003506E5">
        <w:t xml:space="preserve">: Financial Position of Disbursements </w:t>
      </w:r>
      <w:r w:rsidR="005067B3" w:rsidRPr="003506E5">
        <w:t>i</w:t>
      </w:r>
      <w:r w:rsidRPr="003506E5">
        <w:t xml:space="preserve">n GB (in </w:t>
      </w:r>
      <w:r w:rsidR="005067B3" w:rsidRPr="003506E5">
        <w:t>E</w:t>
      </w:r>
      <w:r w:rsidRPr="003506E5">
        <w:t>uros)</w:t>
      </w:r>
      <w:bookmarkEnd w:id="4"/>
    </w:p>
    <w:tbl>
      <w:tblPr>
        <w:tblStyle w:val="OPMPRTable"/>
        <w:tblW w:w="8460" w:type="dxa"/>
        <w:tblLayout w:type="fixed"/>
        <w:tblLook w:val="04A0" w:firstRow="1" w:lastRow="0" w:firstColumn="1" w:lastColumn="0" w:noHBand="0" w:noVBand="1"/>
      </w:tblPr>
      <w:tblGrid>
        <w:gridCol w:w="1527"/>
        <w:gridCol w:w="1443"/>
        <w:gridCol w:w="1350"/>
        <w:gridCol w:w="1350"/>
        <w:gridCol w:w="1260"/>
        <w:gridCol w:w="1530"/>
      </w:tblGrid>
      <w:tr w:rsidR="00037E3B" w:rsidRPr="003506E5" w14:paraId="05D23EA3" w14:textId="77777777" w:rsidTr="00D92D5F">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527" w:type="dxa"/>
            <w:shd w:val="clear" w:color="auto" w:fill="002060"/>
            <w:hideMark/>
          </w:tcPr>
          <w:p w14:paraId="411B2C06" w14:textId="77777777" w:rsidR="00037E3B" w:rsidRPr="003506E5" w:rsidRDefault="00037E3B" w:rsidP="00D92D5F">
            <w:pPr>
              <w:spacing w:after="0" w:line="240" w:lineRule="auto"/>
              <w:rPr>
                <w:rFonts w:asciiTheme="minorHAnsi" w:hAnsiTheme="minorHAnsi" w:cstheme="minorHAnsi"/>
                <w:sz w:val="20"/>
                <w:szCs w:val="20"/>
              </w:rPr>
            </w:pPr>
            <w:r w:rsidRPr="003506E5">
              <w:rPr>
                <w:rFonts w:asciiTheme="minorHAnsi" w:hAnsiTheme="minorHAnsi" w:cstheme="minorHAnsi"/>
                <w:sz w:val="20"/>
                <w:szCs w:val="20"/>
              </w:rPr>
              <w:t>Premium</w:t>
            </w:r>
          </w:p>
        </w:tc>
        <w:tc>
          <w:tcPr>
            <w:tcW w:w="1443" w:type="dxa"/>
            <w:shd w:val="clear" w:color="auto" w:fill="002060"/>
            <w:hideMark/>
          </w:tcPr>
          <w:p w14:paraId="4A74B653" w14:textId="77777777" w:rsidR="00037E3B" w:rsidRPr="003506E5" w:rsidRDefault="00037E3B" w:rsidP="00D92D5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506E5">
              <w:rPr>
                <w:rFonts w:asciiTheme="minorHAnsi" w:hAnsiTheme="minorHAnsi" w:cstheme="minorHAnsi"/>
                <w:sz w:val="20"/>
                <w:szCs w:val="20"/>
              </w:rPr>
              <w:t>Separate Agreement</w:t>
            </w:r>
          </w:p>
        </w:tc>
        <w:tc>
          <w:tcPr>
            <w:tcW w:w="1350" w:type="dxa"/>
            <w:shd w:val="clear" w:color="auto" w:fill="002060"/>
            <w:hideMark/>
          </w:tcPr>
          <w:p w14:paraId="7A836750" w14:textId="77777777" w:rsidR="00037E3B" w:rsidRPr="003506E5" w:rsidRDefault="00037E3B" w:rsidP="00D92D5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506E5">
              <w:rPr>
                <w:rFonts w:asciiTheme="minorHAnsi" w:hAnsiTheme="minorHAnsi" w:cstheme="minorHAnsi"/>
                <w:sz w:val="20"/>
                <w:szCs w:val="20"/>
              </w:rPr>
              <w:t>Contractual</w:t>
            </w:r>
          </w:p>
        </w:tc>
        <w:tc>
          <w:tcPr>
            <w:tcW w:w="1350" w:type="dxa"/>
            <w:shd w:val="clear" w:color="auto" w:fill="002060"/>
            <w:noWrap/>
            <w:hideMark/>
          </w:tcPr>
          <w:p w14:paraId="1E1F6E1D" w14:textId="77777777" w:rsidR="00037E3B" w:rsidRPr="003506E5" w:rsidRDefault="00037E3B" w:rsidP="00D92D5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506E5">
              <w:rPr>
                <w:rFonts w:asciiTheme="minorHAnsi" w:hAnsiTheme="minorHAnsi" w:cstheme="minorHAnsi"/>
                <w:sz w:val="20"/>
                <w:szCs w:val="20"/>
              </w:rPr>
              <w:t>Disbursed</w:t>
            </w:r>
          </w:p>
        </w:tc>
        <w:tc>
          <w:tcPr>
            <w:tcW w:w="1260" w:type="dxa"/>
            <w:shd w:val="clear" w:color="auto" w:fill="002060"/>
            <w:noWrap/>
            <w:hideMark/>
          </w:tcPr>
          <w:p w14:paraId="36D0005D" w14:textId="77777777" w:rsidR="00037E3B" w:rsidRPr="003506E5" w:rsidRDefault="00037E3B" w:rsidP="00D92D5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506E5">
              <w:rPr>
                <w:rFonts w:asciiTheme="minorHAnsi" w:hAnsiTheme="minorHAnsi" w:cstheme="minorHAnsi"/>
                <w:sz w:val="20"/>
                <w:szCs w:val="20"/>
              </w:rPr>
              <w:t>Payable</w:t>
            </w:r>
          </w:p>
        </w:tc>
        <w:tc>
          <w:tcPr>
            <w:tcW w:w="1530" w:type="dxa"/>
            <w:shd w:val="clear" w:color="auto" w:fill="002060"/>
            <w:hideMark/>
          </w:tcPr>
          <w:p w14:paraId="64AAC19B" w14:textId="77777777" w:rsidR="00037E3B" w:rsidRPr="003506E5" w:rsidRDefault="00037E3B" w:rsidP="00D92D5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506E5">
              <w:rPr>
                <w:rFonts w:asciiTheme="minorHAnsi" w:hAnsiTheme="minorHAnsi" w:cstheme="minorHAnsi"/>
                <w:sz w:val="20"/>
                <w:szCs w:val="20"/>
              </w:rPr>
              <w:t>Saving/ Excess</w:t>
            </w:r>
          </w:p>
        </w:tc>
      </w:tr>
      <w:tr w:rsidR="00037E3B" w:rsidRPr="003506E5" w14:paraId="27FF5D0E" w14:textId="77777777" w:rsidTr="00D92D5F">
        <w:trPr>
          <w:trHeight w:val="315"/>
        </w:trPr>
        <w:tc>
          <w:tcPr>
            <w:cnfStyle w:val="001000000000" w:firstRow="0" w:lastRow="0" w:firstColumn="1" w:lastColumn="0" w:oddVBand="0" w:evenVBand="0" w:oddHBand="0" w:evenHBand="0" w:firstRowFirstColumn="0" w:firstRowLastColumn="0" w:lastRowFirstColumn="0" w:lastRowLastColumn="0"/>
            <w:tcW w:w="1527" w:type="dxa"/>
            <w:hideMark/>
          </w:tcPr>
          <w:p w14:paraId="6DB9B932" w14:textId="77777777" w:rsidR="00037E3B" w:rsidRPr="003506E5" w:rsidRDefault="00037E3B" w:rsidP="00D92D5F">
            <w:pPr>
              <w:spacing w:after="0" w:line="240" w:lineRule="auto"/>
              <w:rPr>
                <w:rFonts w:asciiTheme="minorHAnsi" w:hAnsiTheme="minorHAnsi" w:cstheme="minorHAnsi"/>
                <w:b w:val="0"/>
                <w:bCs/>
                <w:color w:val="000000"/>
                <w:sz w:val="20"/>
                <w:szCs w:val="20"/>
              </w:rPr>
            </w:pPr>
            <w:r w:rsidRPr="003506E5">
              <w:rPr>
                <w:rFonts w:asciiTheme="minorHAnsi" w:hAnsiTheme="minorHAnsi" w:cstheme="minorHAnsi"/>
                <w:b w:val="0"/>
                <w:bCs/>
                <w:color w:val="000000"/>
                <w:sz w:val="20"/>
                <w:szCs w:val="20"/>
              </w:rPr>
              <w:t xml:space="preserve">Year 1 </w:t>
            </w:r>
          </w:p>
        </w:tc>
        <w:tc>
          <w:tcPr>
            <w:tcW w:w="1443" w:type="dxa"/>
            <w:noWrap/>
            <w:hideMark/>
          </w:tcPr>
          <w:p w14:paraId="0902A608"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506E5">
              <w:rPr>
                <w:rFonts w:asciiTheme="minorHAnsi" w:hAnsiTheme="minorHAnsi" w:cstheme="minorHAnsi"/>
                <w:sz w:val="20"/>
                <w:szCs w:val="20"/>
              </w:rPr>
              <w:t>83,550.00</w:t>
            </w:r>
          </w:p>
        </w:tc>
        <w:tc>
          <w:tcPr>
            <w:tcW w:w="1350" w:type="dxa"/>
            <w:noWrap/>
            <w:hideMark/>
          </w:tcPr>
          <w:p w14:paraId="45A845EA"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78,693.00</w:t>
            </w:r>
          </w:p>
        </w:tc>
        <w:tc>
          <w:tcPr>
            <w:tcW w:w="1350" w:type="dxa"/>
            <w:noWrap/>
            <w:hideMark/>
          </w:tcPr>
          <w:p w14:paraId="638F0702"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74,327.00</w:t>
            </w:r>
          </w:p>
        </w:tc>
        <w:tc>
          <w:tcPr>
            <w:tcW w:w="1260" w:type="dxa"/>
            <w:noWrap/>
            <w:hideMark/>
          </w:tcPr>
          <w:p w14:paraId="010CD23D"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0.00</w:t>
            </w:r>
          </w:p>
        </w:tc>
        <w:tc>
          <w:tcPr>
            <w:tcW w:w="1530" w:type="dxa"/>
            <w:noWrap/>
            <w:hideMark/>
          </w:tcPr>
          <w:p w14:paraId="63EA20F6"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9,223.00</w:t>
            </w:r>
          </w:p>
        </w:tc>
      </w:tr>
      <w:tr w:rsidR="00037E3B" w:rsidRPr="003506E5" w14:paraId="76CB4754" w14:textId="77777777" w:rsidTr="00D92D5F">
        <w:trPr>
          <w:trHeight w:val="315"/>
        </w:trPr>
        <w:tc>
          <w:tcPr>
            <w:cnfStyle w:val="001000000000" w:firstRow="0" w:lastRow="0" w:firstColumn="1" w:lastColumn="0" w:oddVBand="0" w:evenVBand="0" w:oddHBand="0" w:evenHBand="0" w:firstRowFirstColumn="0" w:firstRowLastColumn="0" w:lastRowFirstColumn="0" w:lastRowLastColumn="0"/>
            <w:tcW w:w="1527" w:type="dxa"/>
            <w:hideMark/>
          </w:tcPr>
          <w:p w14:paraId="0AA19F4E" w14:textId="77777777" w:rsidR="00037E3B" w:rsidRPr="003506E5" w:rsidRDefault="00037E3B" w:rsidP="00D92D5F">
            <w:pPr>
              <w:spacing w:after="0" w:line="240" w:lineRule="auto"/>
              <w:rPr>
                <w:rFonts w:asciiTheme="minorHAnsi" w:hAnsiTheme="minorHAnsi" w:cstheme="minorHAnsi"/>
                <w:b w:val="0"/>
                <w:bCs/>
                <w:color w:val="000000"/>
                <w:sz w:val="20"/>
                <w:szCs w:val="20"/>
              </w:rPr>
            </w:pPr>
            <w:r w:rsidRPr="003506E5">
              <w:rPr>
                <w:rFonts w:asciiTheme="minorHAnsi" w:hAnsiTheme="minorHAnsi" w:cstheme="minorHAnsi"/>
                <w:b w:val="0"/>
                <w:bCs/>
                <w:color w:val="000000"/>
                <w:sz w:val="20"/>
                <w:szCs w:val="20"/>
              </w:rPr>
              <w:t xml:space="preserve">Year 2 </w:t>
            </w:r>
          </w:p>
        </w:tc>
        <w:tc>
          <w:tcPr>
            <w:tcW w:w="1443" w:type="dxa"/>
            <w:noWrap/>
            <w:hideMark/>
          </w:tcPr>
          <w:p w14:paraId="7569362B"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506E5">
              <w:rPr>
                <w:rFonts w:asciiTheme="minorHAnsi" w:hAnsiTheme="minorHAnsi" w:cstheme="minorHAnsi"/>
                <w:sz w:val="20"/>
                <w:szCs w:val="20"/>
              </w:rPr>
              <w:t>79,152.00</w:t>
            </w:r>
          </w:p>
        </w:tc>
        <w:tc>
          <w:tcPr>
            <w:tcW w:w="1350" w:type="dxa"/>
            <w:noWrap/>
            <w:hideMark/>
          </w:tcPr>
          <w:p w14:paraId="605010B9"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59,232.00</w:t>
            </w:r>
          </w:p>
        </w:tc>
        <w:tc>
          <w:tcPr>
            <w:tcW w:w="1350" w:type="dxa"/>
            <w:noWrap/>
            <w:hideMark/>
          </w:tcPr>
          <w:p w14:paraId="7A9E61D8"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506E5">
              <w:rPr>
                <w:rFonts w:asciiTheme="minorHAnsi" w:hAnsiTheme="minorHAnsi" w:cstheme="minorHAnsi"/>
                <w:sz w:val="20"/>
                <w:szCs w:val="20"/>
              </w:rPr>
              <w:t>59,232.00</w:t>
            </w:r>
          </w:p>
        </w:tc>
        <w:tc>
          <w:tcPr>
            <w:tcW w:w="1260" w:type="dxa"/>
            <w:noWrap/>
            <w:hideMark/>
          </w:tcPr>
          <w:p w14:paraId="291C971A"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0.00</w:t>
            </w:r>
          </w:p>
        </w:tc>
        <w:tc>
          <w:tcPr>
            <w:tcW w:w="1530" w:type="dxa"/>
            <w:noWrap/>
            <w:hideMark/>
          </w:tcPr>
          <w:p w14:paraId="48DD8F32"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19,920.00</w:t>
            </w:r>
          </w:p>
        </w:tc>
      </w:tr>
      <w:tr w:rsidR="00037E3B" w:rsidRPr="003506E5" w14:paraId="6F49A4AE" w14:textId="77777777" w:rsidTr="00D92D5F">
        <w:trPr>
          <w:trHeight w:val="315"/>
        </w:trPr>
        <w:tc>
          <w:tcPr>
            <w:cnfStyle w:val="001000000000" w:firstRow="0" w:lastRow="0" w:firstColumn="1" w:lastColumn="0" w:oddVBand="0" w:evenVBand="0" w:oddHBand="0" w:evenHBand="0" w:firstRowFirstColumn="0" w:firstRowLastColumn="0" w:lastRowFirstColumn="0" w:lastRowLastColumn="0"/>
            <w:tcW w:w="1527" w:type="dxa"/>
            <w:hideMark/>
          </w:tcPr>
          <w:p w14:paraId="6F7C5D5F" w14:textId="77777777" w:rsidR="00037E3B" w:rsidRPr="003506E5" w:rsidRDefault="00037E3B" w:rsidP="00D92D5F">
            <w:pPr>
              <w:spacing w:after="0" w:line="240" w:lineRule="auto"/>
              <w:rPr>
                <w:rFonts w:asciiTheme="minorHAnsi" w:hAnsiTheme="minorHAnsi" w:cstheme="minorHAnsi"/>
                <w:b w:val="0"/>
                <w:bCs/>
                <w:color w:val="000000"/>
                <w:sz w:val="20"/>
                <w:szCs w:val="20"/>
              </w:rPr>
            </w:pPr>
            <w:r w:rsidRPr="003506E5">
              <w:rPr>
                <w:rFonts w:asciiTheme="minorHAnsi" w:hAnsiTheme="minorHAnsi" w:cstheme="minorHAnsi"/>
                <w:b w:val="0"/>
                <w:bCs/>
                <w:color w:val="000000"/>
                <w:sz w:val="20"/>
                <w:szCs w:val="20"/>
              </w:rPr>
              <w:t xml:space="preserve">Year 3 </w:t>
            </w:r>
          </w:p>
        </w:tc>
        <w:tc>
          <w:tcPr>
            <w:tcW w:w="1443" w:type="dxa"/>
            <w:noWrap/>
            <w:hideMark/>
          </w:tcPr>
          <w:p w14:paraId="1116E918"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506E5">
              <w:rPr>
                <w:rFonts w:asciiTheme="minorHAnsi" w:hAnsiTheme="minorHAnsi" w:cstheme="minorHAnsi"/>
                <w:sz w:val="20"/>
                <w:szCs w:val="20"/>
              </w:rPr>
              <w:t>74,756.00</w:t>
            </w:r>
          </w:p>
        </w:tc>
        <w:tc>
          <w:tcPr>
            <w:tcW w:w="1350" w:type="dxa"/>
            <w:noWrap/>
            <w:hideMark/>
          </w:tcPr>
          <w:p w14:paraId="36F900A1"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63,430.00</w:t>
            </w:r>
          </w:p>
        </w:tc>
        <w:tc>
          <w:tcPr>
            <w:tcW w:w="1350" w:type="dxa"/>
            <w:noWrap/>
            <w:hideMark/>
          </w:tcPr>
          <w:p w14:paraId="099A0233"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506E5">
              <w:rPr>
                <w:rFonts w:asciiTheme="minorHAnsi" w:hAnsiTheme="minorHAnsi" w:cstheme="minorHAnsi"/>
                <w:sz w:val="20"/>
                <w:szCs w:val="20"/>
              </w:rPr>
              <w:t>44,135.00</w:t>
            </w:r>
          </w:p>
        </w:tc>
        <w:tc>
          <w:tcPr>
            <w:tcW w:w="1260" w:type="dxa"/>
            <w:noWrap/>
            <w:hideMark/>
          </w:tcPr>
          <w:p w14:paraId="74530C9B"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0.00</w:t>
            </w:r>
          </w:p>
        </w:tc>
        <w:tc>
          <w:tcPr>
            <w:tcW w:w="1530" w:type="dxa"/>
            <w:noWrap/>
            <w:hideMark/>
          </w:tcPr>
          <w:p w14:paraId="31178B59"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30,621.00</w:t>
            </w:r>
          </w:p>
        </w:tc>
      </w:tr>
      <w:tr w:rsidR="00037E3B" w:rsidRPr="003506E5" w14:paraId="64E7CBD5" w14:textId="77777777" w:rsidTr="00D92D5F">
        <w:trPr>
          <w:trHeight w:val="315"/>
        </w:trPr>
        <w:tc>
          <w:tcPr>
            <w:cnfStyle w:val="001000000000" w:firstRow="0" w:lastRow="0" w:firstColumn="1" w:lastColumn="0" w:oddVBand="0" w:evenVBand="0" w:oddHBand="0" w:evenHBand="0" w:firstRowFirstColumn="0" w:firstRowLastColumn="0" w:lastRowFirstColumn="0" w:lastRowLastColumn="0"/>
            <w:tcW w:w="1527" w:type="dxa"/>
            <w:hideMark/>
          </w:tcPr>
          <w:p w14:paraId="773F8EC2" w14:textId="77777777" w:rsidR="00037E3B" w:rsidRPr="003506E5" w:rsidRDefault="00037E3B" w:rsidP="00D92D5F">
            <w:pPr>
              <w:spacing w:after="0" w:line="240" w:lineRule="auto"/>
              <w:rPr>
                <w:rFonts w:asciiTheme="minorHAnsi" w:hAnsiTheme="minorHAnsi" w:cstheme="minorHAnsi"/>
                <w:b w:val="0"/>
                <w:bCs/>
                <w:color w:val="000000"/>
                <w:sz w:val="20"/>
                <w:szCs w:val="20"/>
              </w:rPr>
            </w:pPr>
            <w:r w:rsidRPr="003506E5">
              <w:rPr>
                <w:rFonts w:asciiTheme="minorHAnsi" w:hAnsiTheme="minorHAnsi" w:cstheme="minorHAnsi"/>
                <w:b w:val="0"/>
                <w:bCs/>
                <w:color w:val="000000"/>
                <w:sz w:val="20"/>
                <w:szCs w:val="20"/>
              </w:rPr>
              <w:t xml:space="preserve">Year 4 </w:t>
            </w:r>
          </w:p>
        </w:tc>
        <w:tc>
          <w:tcPr>
            <w:tcW w:w="1443" w:type="dxa"/>
            <w:noWrap/>
            <w:hideMark/>
          </w:tcPr>
          <w:p w14:paraId="5C54A9E0"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70,358.00</w:t>
            </w:r>
          </w:p>
        </w:tc>
        <w:tc>
          <w:tcPr>
            <w:tcW w:w="1350" w:type="dxa"/>
            <w:noWrap/>
            <w:hideMark/>
          </w:tcPr>
          <w:p w14:paraId="3705EAE4"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59,020.00</w:t>
            </w:r>
          </w:p>
        </w:tc>
        <w:tc>
          <w:tcPr>
            <w:tcW w:w="1350" w:type="dxa"/>
            <w:noWrap/>
            <w:hideMark/>
          </w:tcPr>
          <w:p w14:paraId="7910F19C"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506E5">
              <w:rPr>
                <w:rFonts w:asciiTheme="minorHAnsi" w:hAnsiTheme="minorHAnsi" w:cstheme="minorHAnsi"/>
                <w:sz w:val="20"/>
                <w:szCs w:val="20"/>
              </w:rPr>
              <w:t>44,756.00</w:t>
            </w:r>
          </w:p>
        </w:tc>
        <w:tc>
          <w:tcPr>
            <w:tcW w:w="1260" w:type="dxa"/>
            <w:noWrap/>
            <w:hideMark/>
          </w:tcPr>
          <w:p w14:paraId="1A11E423"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0.00</w:t>
            </w:r>
          </w:p>
        </w:tc>
        <w:tc>
          <w:tcPr>
            <w:tcW w:w="1530" w:type="dxa"/>
            <w:noWrap/>
            <w:hideMark/>
          </w:tcPr>
          <w:p w14:paraId="3B69CCEF"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25,602.00</w:t>
            </w:r>
          </w:p>
        </w:tc>
      </w:tr>
      <w:tr w:rsidR="00037E3B" w:rsidRPr="003506E5" w14:paraId="630E4523" w14:textId="77777777" w:rsidTr="00D92D5F">
        <w:trPr>
          <w:trHeight w:val="315"/>
        </w:trPr>
        <w:tc>
          <w:tcPr>
            <w:cnfStyle w:val="001000000000" w:firstRow="0" w:lastRow="0" w:firstColumn="1" w:lastColumn="0" w:oddVBand="0" w:evenVBand="0" w:oddHBand="0" w:evenHBand="0" w:firstRowFirstColumn="0" w:firstRowLastColumn="0" w:lastRowFirstColumn="0" w:lastRowLastColumn="0"/>
            <w:tcW w:w="1527" w:type="dxa"/>
            <w:hideMark/>
          </w:tcPr>
          <w:p w14:paraId="2B839082" w14:textId="77777777" w:rsidR="00037E3B" w:rsidRPr="003506E5" w:rsidRDefault="00037E3B" w:rsidP="00D92D5F">
            <w:pPr>
              <w:spacing w:after="0" w:line="240" w:lineRule="auto"/>
              <w:rPr>
                <w:rFonts w:asciiTheme="minorHAnsi" w:hAnsiTheme="minorHAnsi" w:cstheme="minorHAnsi"/>
                <w:b w:val="0"/>
                <w:bCs/>
                <w:color w:val="000000"/>
                <w:sz w:val="20"/>
                <w:szCs w:val="20"/>
              </w:rPr>
            </w:pPr>
            <w:r w:rsidRPr="003506E5">
              <w:rPr>
                <w:rFonts w:asciiTheme="minorHAnsi" w:hAnsiTheme="minorHAnsi" w:cstheme="minorHAnsi"/>
                <w:b w:val="0"/>
                <w:bCs/>
                <w:color w:val="000000"/>
                <w:sz w:val="20"/>
                <w:szCs w:val="20"/>
              </w:rPr>
              <w:t xml:space="preserve">Year 5 </w:t>
            </w:r>
          </w:p>
        </w:tc>
        <w:tc>
          <w:tcPr>
            <w:tcW w:w="1443" w:type="dxa"/>
            <w:noWrap/>
            <w:hideMark/>
          </w:tcPr>
          <w:p w14:paraId="714B94CE"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65,961.00</w:t>
            </w:r>
          </w:p>
        </w:tc>
        <w:tc>
          <w:tcPr>
            <w:tcW w:w="1350" w:type="dxa"/>
            <w:noWrap/>
            <w:hideMark/>
          </w:tcPr>
          <w:p w14:paraId="7B988AE8"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55,331.00</w:t>
            </w:r>
          </w:p>
        </w:tc>
        <w:tc>
          <w:tcPr>
            <w:tcW w:w="1350" w:type="dxa"/>
            <w:noWrap/>
            <w:hideMark/>
          </w:tcPr>
          <w:p w14:paraId="2615F206"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506E5">
              <w:rPr>
                <w:rFonts w:asciiTheme="minorHAnsi" w:hAnsiTheme="minorHAnsi" w:cstheme="minorHAnsi"/>
                <w:sz w:val="20"/>
                <w:szCs w:val="20"/>
              </w:rPr>
              <w:t>0.00</w:t>
            </w:r>
          </w:p>
        </w:tc>
        <w:tc>
          <w:tcPr>
            <w:tcW w:w="1260" w:type="dxa"/>
            <w:noWrap/>
            <w:hideMark/>
          </w:tcPr>
          <w:p w14:paraId="32F2A0E1"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41,959.00</w:t>
            </w:r>
          </w:p>
        </w:tc>
        <w:tc>
          <w:tcPr>
            <w:tcW w:w="1530" w:type="dxa"/>
            <w:noWrap/>
            <w:hideMark/>
          </w:tcPr>
          <w:p w14:paraId="2112A345"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24,002.00</w:t>
            </w:r>
          </w:p>
        </w:tc>
      </w:tr>
      <w:tr w:rsidR="00037E3B" w:rsidRPr="003506E5" w14:paraId="7BCB9EEE" w14:textId="77777777" w:rsidTr="00D92D5F">
        <w:trPr>
          <w:trHeight w:val="315"/>
        </w:trPr>
        <w:tc>
          <w:tcPr>
            <w:cnfStyle w:val="001000000000" w:firstRow="0" w:lastRow="0" w:firstColumn="1" w:lastColumn="0" w:oddVBand="0" w:evenVBand="0" w:oddHBand="0" w:evenHBand="0" w:firstRowFirstColumn="0" w:firstRowLastColumn="0" w:lastRowFirstColumn="0" w:lastRowLastColumn="0"/>
            <w:tcW w:w="1527" w:type="dxa"/>
            <w:hideMark/>
          </w:tcPr>
          <w:p w14:paraId="357F3CF6" w14:textId="77777777" w:rsidR="00037E3B" w:rsidRPr="003506E5" w:rsidRDefault="00037E3B" w:rsidP="00D92D5F">
            <w:pPr>
              <w:spacing w:after="0" w:line="240" w:lineRule="auto"/>
              <w:rPr>
                <w:rFonts w:asciiTheme="minorHAnsi" w:hAnsiTheme="minorHAnsi" w:cstheme="minorHAnsi"/>
                <w:color w:val="000000"/>
                <w:sz w:val="20"/>
                <w:szCs w:val="20"/>
              </w:rPr>
            </w:pPr>
            <w:r w:rsidRPr="003506E5">
              <w:rPr>
                <w:rFonts w:asciiTheme="minorHAnsi" w:hAnsiTheme="minorHAnsi" w:cstheme="minorHAnsi"/>
                <w:color w:val="000000"/>
                <w:sz w:val="20"/>
                <w:szCs w:val="20"/>
              </w:rPr>
              <w:t>Total</w:t>
            </w:r>
          </w:p>
        </w:tc>
        <w:tc>
          <w:tcPr>
            <w:tcW w:w="1443" w:type="dxa"/>
            <w:noWrap/>
            <w:hideMark/>
          </w:tcPr>
          <w:p w14:paraId="6D527CC3"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373,777.00</w:t>
            </w:r>
          </w:p>
        </w:tc>
        <w:tc>
          <w:tcPr>
            <w:tcW w:w="1350" w:type="dxa"/>
            <w:noWrap/>
            <w:hideMark/>
          </w:tcPr>
          <w:p w14:paraId="1089250D"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315,706.00</w:t>
            </w:r>
          </w:p>
        </w:tc>
        <w:tc>
          <w:tcPr>
            <w:tcW w:w="1350" w:type="dxa"/>
            <w:noWrap/>
            <w:hideMark/>
          </w:tcPr>
          <w:p w14:paraId="785F1FE3"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222,450.00</w:t>
            </w:r>
          </w:p>
        </w:tc>
        <w:tc>
          <w:tcPr>
            <w:tcW w:w="1260" w:type="dxa"/>
            <w:noWrap/>
            <w:hideMark/>
          </w:tcPr>
          <w:p w14:paraId="74574232"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41,959.00</w:t>
            </w:r>
          </w:p>
        </w:tc>
        <w:tc>
          <w:tcPr>
            <w:tcW w:w="1530" w:type="dxa"/>
            <w:noWrap/>
            <w:hideMark/>
          </w:tcPr>
          <w:p w14:paraId="52936662"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109,368.00</w:t>
            </w:r>
          </w:p>
        </w:tc>
      </w:tr>
      <w:tr w:rsidR="00957469" w:rsidRPr="003506E5" w14:paraId="1D4D3ED1" w14:textId="77777777" w:rsidTr="00957469">
        <w:trPr>
          <w:trHeight w:val="315"/>
        </w:trPr>
        <w:tc>
          <w:tcPr>
            <w:cnfStyle w:val="001000000000" w:firstRow="0" w:lastRow="0" w:firstColumn="1" w:lastColumn="0" w:oddVBand="0" w:evenVBand="0" w:oddHBand="0" w:evenHBand="0" w:firstRowFirstColumn="0" w:firstRowLastColumn="0" w:lastRowFirstColumn="0" w:lastRowLastColumn="0"/>
            <w:tcW w:w="8460" w:type="dxa"/>
            <w:gridSpan w:val="6"/>
            <w:hideMark/>
          </w:tcPr>
          <w:p w14:paraId="4D9D0ECA" w14:textId="77777777" w:rsidR="00957469" w:rsidRPr="003506E5" w:rsidRDefault="00957469" w:rsidP="00D92D5F">
            <w:pPr>
              <w:spacing w:after="0" w:line="240" w:lineRule="auto"/>
              <w:jc w:val="center"/>
              <w:rPr>
                <w:rFonts w:asciiTheme="minorHAnsi" w:hAnsiTheme="minorHAnsi" w:cstheme="minorHAnsi"/>
                <w:color w:val="000000"/>
                <w:sz w:val="20"/>
                <w:szCs w:val="20"/>
              </w:rPr>
            </w:pPr>
            <w:r w:rsidRPr="003506E5">
              <w:rPr>
                <w:rFonts w:asciiTheme="minorHAnsi" w:hAnsiTheme="minorHAnsi" w:cstheme="minorHAnsi"/>
                <w:color w:val="000000"/>
                <w:sz w:val="20"/>
                <w:szCs w:val="20"/>
              </w:rPr>
              <w:t>Audit</w:t>
            </w:r>
          </w:p>
        </w:tc>
      </w:tr>
      <w:tr w:rsidR="00037E3B" w:rsidRPr="003506E5" w14:paraId="5A08983D" w14:textId="77777777" w:rsidTr="00D92D5F">
        <w:trPr>
          <w:trHeight w:val="315"/>
        </w:trPr>
        <w:tc>
          <w:tcPr>
            <w:cnfStyle w:val="001000000000" w:firstRow="0" w:lastRow="0" w:firstColumn="1" w:lastColumn="0" w:oddVBand="0" w:evenVBand="0" w:oddHBand="0" w:evenHBand="0" w:firstRowFirstColumn="0" w:firstRowLastColumn="0" w:lastRowFirstColumn="0" w:lastRowLastColumn="0"/>
            <w:tcW w:w="1527" w:type="dxa"/>
            <w:hideMark/>
          </w:tcPr>
          <w:p w14:paraId="376F8CD3" w14:textId="77777777" w:rsidR="00037E3B" w:rsidRPr="003506E5" w:rsidRDefault="00037E3B" w:rsidP="00D92D5F">
            <w:pPr>
              <w:spacing w:after="0" w:line="240" w:lineRule="auto"/>
              <w:rPr>
                <w:rFonts w:asciiTheme="minorHAnsi" w:hAnsiTheme="minorHAnsi" w:cstheme="minorHAnsi"/>
                <w:b w:val="0"/>
                <w:bCs/>
                <w:color w:val="000000"/>
                <w:sz w:val="20"/>
                <w:szCs w:val="20"/>
              </w:rPr>
            </w:pPr>
            <w:r w:rsidRPr="003506E5">
              <w:rPr>
                <w:rFonts w:asciiTheme="minorHAnsi" w:hAnsiTheme="minorHAnsi" w:cstheme="minorHAnsi"/>
                <w:b w:val="0"/>
                <w:bCs/>
                <w:color w:val="000000"/>
                <w:sz w:val="20"/>
                <w:szCs w:val="20"/>
              </w:rPr>
              <w:t xml:space="preserve">Year 1 </w:t>
            </w:r>
          </w:p>
        </w:tc>
        <w:tc>
          <w:tcPr>
            <w:tcW w:w="1443" w:type="dxa"/>
            <w:noWrap/>
            <w:hideMark/>
          </w:tcPr>
          <w:p w14:paraId="4D7A5DA2"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506E5">
              <w:rPr>
                <w:rFonts w:asciiTheme="minorHAnsi" w:hAnsiTheme="minorHAnsi" w:cstheme="minorHAnsi"/>
                <w:sz w:val="20"/>
                <w:szCs w:val="20"/>
              </w:rPr>
              <w:t>22,000.00</w:t>
            </w:r>
          </w:p>
        </w:tc>
        <w:tc>
          <w:tcPr>
            <w:tcW w:w="1350" w:type="dxa"/>
            <w:noWrap/>
            <w:hideMark/>
          </w:tcPr>
          <w:p w14:paraId="6A66E7AA"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1,246.00</w:t>
            </w:r>
          </w:p>
        </w:tc>
        <w:tc>
          <w:tcPr>
            <w:tcW w:w="1350" w:type="dxa"/>
            <w:noWrap/>
            <w:hideMark/>
          </w:tcPr>
          <w:p w14:paraId="08D26078"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1,246.00</w:t>
            </w:r>
          </w:p>
        </w:tc>
        <w:tc>
          <w:tcPr>
            <w:tcW w:w="1260" w:type="dxa"/>
            <w:noWrap/>
            <w:hideMark/>
          </w:tcPr>
          <w:p w14:paraId="09CB8ACD"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0.00</w:t>
            </w:r>
          </w:p>
        </w:tc>
        <w:tc>
          <w:tcPr>
            <w:tcW w:w="1530" w:type="dxa"/>
            <w:noWrap/>
            <w:hideMark/>
          </w:tcPr>
          <w:p w14:paraId="60989E95"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20,754.00</w:t>
            </w:r>
          </w:p>
        </w:tc>
      </w:tr>
      <w:tr w:rsidR="00037E3B" w:rsidRPr="003506E5" w14:paraId="4CCB595E" w14:textId="77777777" w:rsidTr="00D92D5F">
        <w:trPr>
          <w:trHeight w:val="315"/>
        </w:trPr>
        <w:tc>
          <w:tcPr>
            <w:cnfStyle w:val="001000000000" w:firstRow="0" w:lastRow="0" w:firstColumn="1" w:lastColumn="0" w:oddVBand="0" w:evenVBand="0" w:oddHBand="0" w:evenHBand="0" w:firstRowFirstColumn="0" w:firstRowLastColumn="0" w:lastRowFirstColumn="0" w:lastRowLastColumn="0"/>
            <w:tcW w:w="1527" w:type="dxa"/>
            <w:hideMark/>
          </w:tcPr>
          <w:p w14:paraId="16C53B66" w14:textId="77777777" w:rsidR="00037E3B" w:rsidRPr="003506E5" w:rsidRDefault="00037E3B" w:rsidP="00D92D5F">
            <w:pPr>
              <w:spacing w:after="0" w:line="240" w:lineRule="auto"/>
              <w:rPr>
                <w:rFonts w:asciiTheme="minorHAnsi" w:hAnsiTheme="minorHAnsi" w:cstheme="minorHAnsi"/>
                <w:b w:val="0"/>
                <w:bCs/>
                <w:color w:val="000000"/>
                <w:sz w:val="20"/>
                <w:szCs w:val="20"/>
              </w:rPr>
            </w:pPr>
            <w:r w:rsidRPr="003506E5">
              <w:rPr>
                <w:rFonts w:asciiTheme="minorHAnsi" w:hAnsiTheme="minorHAnsi" w:cstheme="minorHAnsi"/>
                <w:b w:val="0"/>
                <w:bCs/>
                <w:color w:val="000000"/>
                <w:sz w:val="20"/>
                <w:szCs w:val="20"/>
              </w:rPr>
              <w:t xml:space="preserve">Year 2 </w:t>
            </w:r>
          </w:p>
        </w:tc>
        <w:tc>
          <w:tcPr>
            <w:tcW w:w="1443" w:type="dxa"/>
            <w:noWrap/>
            <w:hideMark/>
          </w:tcPr>
          <w:p w14:paraId="2784665D"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506E5">
              <w:rPr>
                <w:rFonts w:asciiTheme="minorHAnsi" w:hAnsiTheme="minorHAnsi" w:cstheme="minorHAnsi"/>
                <w:sz w:val="20"/>
                <w:szCs w:val="20"/>
              </w:rPr>
              <w:t>22,000.00</w:t>
            </w:r>
          </w:p>
        </w:tc>
        <w:tc>
          <w:tcPr>
            <w:tcW w:w="1350" w:type="dxa"/>
            <w:noWrap/>
            <w:hideMark/>
          </w:tcPr>
          <w:p w14:paraId="1D57BB01"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697.00</w:t>
            </w:r>
          </w:p>
        </w:tc>
        <w:tc>
          <w:tcPr>
            <w:tcW w:w="1350" w:type="dxa"/>
            <w:noWrap/>
            <w:hideMark/>
          </w:tcPr>
          <w:p w14:paraId="49ADD833"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697.00</w:t>
            </w:r>
          </w:p>
        </w:tc>
        <w:tc>
          <w:tcPr>
            <w:tcW w:w="1260" w:type="dxa"/>
            <w:noWrap/>
            <w:hideMark/>
          </w:tcPr>
          <w:p w14:paraId="2D4BF744"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0.00</w:t>
            </w:r>
          </w:p>
        </w:tc>
        <w:tc>
          <w:tcPr>
            <w:tcW w:w="1530" w:type="dxa"/>
            <w:noWrap/>
            <w:hideMark/>
          </w:tcPr>
          <w:p w14:paraId="5659C444"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21303.00</w:t>
            </w:r>
          </w:p>
        </w:tc>
      </w:tr>
      <w:tr w:rsidR="00037E3B" w:rsidRPr="003506E5" w14:paraId="5F550647" w14:textId="77777777" w:rsidTr="00D92D5F">
        <w:trPr>
          <w:trHeight w:val="315"/>
        </w:trPr>
        <w:tc>
          <w:tcPr>
            <w:cnfStyle w:val="001000000000" w:firstRow="0" w:lastRow="0" w:firstColumn="1" w:lastColumn="0" w:oddVBand="0" w:evenVBand="0" w:oddHBand="0" w:evenHBand="0" w:firstRowFirstColumn="0" w:firstRowLastColumn="0" w:lastRowFirstColumn="0" w:lastRowLastColumn="0"/>
            <w:tcW w:w="1527" w:type="dxa"/>
            <w:hideMark/>
          </w:tcPr>
          <w:p w14:paraId="30303DDF" w14:textId="77777777" w:rsidR="00037E3B" w:rsidRPr="003506E5" w:rsidRDefault="00037E3B" w:rsidP="00D92D5F">
            <w:pPr>
              <w:spacing w:after="0" w:line="240" w:lineRule="auto"/>
              <w:rPr>
                <w:rFonts w:asciiTheme="minorHAnsi" w:hAnsiTheme="minorHAnsi" w:cstheme="minorHAnsi"/>
                <w:b w:val="0"/>
                <w:bCs/>
                <w:color w:val="000000"/>
                <w:sz w:val="20"/>
                <w:szCs w:val="20"/>
              </w:rPr>
            </w:pPr>
            <w:r w:rsidRPr="003506E5">
              <w:rPr>
                <w:rFonts w:asciiTheme="minorHAnsi" w:hAnsiTheme="minorHAnsi" w:cstheme="minorHAnsi"/>
                <w:b w:val="0"/>
                <w:bCs/>
                <w:color w:val="000000"/>
                <w:sz w:val="20"/>
                <w:szCs w:val="20"/>
              </w:rPr>
              <w:t xml:space="preserve">Year 3 </w:t>
            </w:r>
          </w:p>
        </w:tc>
        <w:tc>
          <w:tcPr>
            <w:tcW w:w="1443" w:type="dxa"/>
            <w:noWrap/>
            <w:hideMark/>
          </w:tcPr>
          <w:p w14:paraId="45C25BDE"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506E5">
              <w:rPr>
                <w:rFonts w:asciiTheme="minorHAnsi" w:hAnsiTheme="minorHAnsi" w:cstheme="minorHAnsi"/>
                <w:sz w:val="20"/>
                <w:szCs w:val="20"/>
              </w:rPr>
              <w:t>22,000.00</w:t>
            </w:r>
          </w:p>
        </w:tc>
        <w:tc>
          <w:tcPr>
            <w:tcW w:w="1350" w:type="dxa"/>
            <w:noWrap/>
            <w:hideMark/>
          </w:tcPr>
          <w:p w14:paraId="4C4B34E8"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697.00</w:t>
            </w:r>
          </w:p>
        </w:tc>
        <w:tc>
          <w:tcPr>
            <w:tcW w:w="1350" w:type="dxa"/>
            <w:noWrap/>
            <w:hideMark/>
          </w:tcPr>
          <w:p w14:paraId="7C397946"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697.00</w:t>
            </w:r>
          </w:p>
        </w:tc>
        <w:tc>
          <w:tcPr>
            <w:tcW w:w="1260" w:type="dxa"/>
            <w:noWrap/>
            <w:hideMark/>
          </w:tcPr>
          <w:p w14:paraId="43EE8032"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0.00</w:t>
            </w:r>
          </w:p>
        </w:tc>
        <w:tc>
          <w:tcPr>
            <w:tcW w:w="1530" w:type="dxa"/>
            <w:noWrap/>
            <w:hideMark/>
          </w:tcPr>
          <w:p w14:paraId="2FB8CB1E"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21303.00</w:t>
            </w:r>
          </w:p>
        </w:tc>
      </w:tr>
      <w:tr w:rsidR="00037E3B" w:rsidRPr="003506E5" w14:paraId="407A0FD4" w14:textId="77777777" w:rsidTr="00D92D5F">
        <w:trPr>
          <w:trHeight w:val="315"/>
        </w:trPr>
        <w:tc>
          <w:tcPr>
            <w:cnfStyle w:val="001000000000" w:firstRow="0" w:lastRow="0" w:firstColumn="1" w:lastColumn="0" w:oddVBand="0" w:evenVBand="0" w:oddHBand="0" w:evenHBand="0" w:firstRowFirstColumn="0" w:firstRowLastColumn="0" w:lastRowFirstColumn="0" w:lastRowLastColumn="0"/>
            <w:tcW w:w="1527" w:type="dxa"/>
            <w:hideMark/>
          </w:tcPr>
          <w:p w14:paraId="5BDEBD77" w14:textId="77777777" w:rsidR="00037E3B" w:rsidRPr="003506E5" w:rsidRDefault="00037E3B" w:rsidP="00D92D5F">
            <w:pPr>
              <w:spacing w:after="0" w:line="240" w:lineRule="auto"/>
              <w:rPr>
                <w:rFonts w:asciiTheme="minorHAnsi" w:hAnsiTheme="minorHAnsi" w:cstheme="minorHAnsi"/>
                <w:b w:val="0"/>
                <w:bCs/>
                <w:color w:val="000000"/>
                <w:sz w:val="20"/>
                <w:szCs w:val="20"/>
              </w:rPr>
            </w:pPr>
            <w:r w:rsidRPr="003506E5">
              <w:rPr>
                <w:rFonts w:asciiTheme="minorHAnsi" w:hAnsiTheme="minorHAnsi" w:cstheme="minorHAnsi"/>
                <w:b w:val="0"/>
                <w:bCs/>
                <w:color w:val="000000"/>
                <w:sz w:val="20"/>
                <w:szCs w:val="20"/>
              </w:rPr>
              <w:t xml:space="preserve">Year 4 </w:t>
            </w:r>
          </w:p>
        </w:tc>
        <w:tc>
          <w:tcPr>
            <w:tcW w:w="1443" w:type="dxa"/>
            <w:noWrap/>
            <w:hideMark/>
          </w:tcPr>
          <w:p w14:paraId="0B1758BF"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506E5">
              <w:rPr>
                <w:rFonts w:asciiTheme="minorHAnsi" w:hAnsiTheme="minorHAnsi" w:cstheme="minorHAnsi"/>
                <w:sz w:val="20"/>
                <w:szCs w:val="20"/>
              </w:rPr>
              <w:t>22,000.00</w:t>
            </w:r>
          </w:p>
        </w:tc>
        <w:tc>
          <w:tcPr>
            <w:tcW w:w="1350" w:type="dxa"/>
            <w:noWrap/>
            <w:hideMark/>
          </w:tcPr>
          <w:p w14:paraId="19B45B0D"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1,500.00</w:t>
            </w:r>
          </w:p>
        </w:tc>
        <w:tc>
          <w:tcPr>
            <w:tcW w:w="1350" w:type="dxa"/>
            <w:noWrap/>
            <w:hideMark/>
          </w:tcPr>
          <w:p w14:paraId="3715B606"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0.00</w:t>
            </w:r>
          </w:p>
        </w:tc>
        <w:tc>
          <w:tcPr>
            <w:tcW w:w="1260" w:type="dxa"/>
            <w:noWrap/>
            <w:hideMark/>
          </w:tcPr>
          <w:p w14:paraId="56F4D5C7"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1,500.00</w:t>
            </w:r>
          </w:p>
        </w:tc>
        <w:tc>
          <w:tcPr>
            <w:tcW w:w="1530" w:type="dxa"/>
            <w:noWrap/>
            <w:hideMark/>
          </w:tcPr>
          <w:p w14:paraId="09BA05B8"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20,500.00</w:t>
            </w:r>
          </w:p>
        </w:tc>
      </w:tr>
      <w:tr w:rsidR="00037E3B" w:rsidRPr="003506E5" w14:paraId="4A06D8D2" w14:textId="77777777" w:rsidTr="00D92D5F">
        <w:trPr>
          <w:trHeight w:val="315"/>
        </w:trPr>
        <w:tc>
          <w:tcPr>
            <w:cnfStyle w:val="001000000000" w:firstRow="0" w:lastRow="0" w:firstColumn="1" w:lastColumn="0" w:oddVBand="0" w:evenVBand="0" w:oddHBand="0" w:evenHBand="0" w:firstRowFirstColumn="0" w:firstRowLastColumn="0" w:lastRowFirstColumn="0" w:lastRowLastColumn="0"/>
            <w:tcW w:w="1527" w:type="dxa"/>
            <w:hideMark/>
          </w:tcPr>
          <w:p w14:paraId="25BE0365" w14:textId="77777777" w:rsidR="00037E3B" w:rsidRPr="003506E5" w:rsidRDefault="00037E3B" w:rsidP="00D92D5F">
            <w:pPr>
              <w:spacing w:after="0" w:line="240" w:lineRule="auto"/>
              <w:rPr>
                <w:rFonts w:asciiTheme="minorHAnsi" w:hAnsiTheme="minorHAnsi" w:cstheme="minorHAnsi"/>
                <w:b w:val="0"/>
                <w:bCs/>
                <w:color w:val="000000"/>
                <w:sz w:val="20"/>
                <w:szCs w:val="20"/>
              </w:rPr>
            </w:pPr>
            <w:r w:rsidRPr="003506E5">
              <w:rPr>
                <w:rFonts w:asciiTheme="minorHAnsi" w:hAnsiTheme="minorHAnsi" w:cstheme="minorHAnsi"/>
                <w:b w:val="0"/>
                <w:bCs/>
                <w:color w:val="000000"/>
                <w:sz w:val="20"/>
                <w:szCs w:val="20"/>
              </w:rPr>
              <w:t xml:space="preserve">Year 5 </w:t>
            </w:r>
          </w:p>
        </w:tc>
        <w:tc>
          <w:tcPr>
            <w:tcW w:w="1443" w:type="dxa"/>
            <w:noWrap/>
            <w:hideMark/>
          </w:tcPr>
          <w:p w14:paraId="05950932"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506E5">
              <w:rPr>
                <w:rFonts w:asciiTheme="minorHAnsi" w:hAnsiTheme="minorHAnsi" w:cstheme="minorHAnsi"/>
                <w:sz w:val="20"/>
                <w:szCs w:val="20"/>
              </w:rPr>
              <w:t>22,000.00</w:t>
            </w:r>
          </w:p>
        </w:tc>
        <w:tc>
          <w:tcPr>
            <w:tcW w:w="1350" w:type="dxa"/>
            <w:noWrap/>
            <w:hideMark/>
          </w:tcPr>
          <w:p w14:paraId="418E6BED"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2,000.00</w:t>
            </w:r>
          </w:p>
        </w:tc>
        <w:tc>
          <w:tcPr>
            <w:tcW w:w="1350" w:type="dxa"/>
            <w:noWrap/>
            <w:hideMark/>
          </w:tcPr>
          <w:p w14:paraId="0FCF35BF"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0.00</w:t>
            </w:r>
          </w:p>
        </w:tc>
        <w:tc>
          <w:tcPr>
            <w:tcW w:w="1260" w:type="dxa"/>
            <w:noWrap/>
            <w:hideMark/>
          </w:tcPr>
          <w:p w14:paraId="1B4DA147"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3,000.00</w:t>
            </w:r>
          </w:p>
        </w:tc>
        <w:tc>
          <w:tcPr>
            <w:tcW w:w="1530" w:type="dxa"/>
            <w:noWrap/>
            <w:hideMark/>
          </w:tcPr>
          <w:p w14:paraId="0C30DFD0"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19,000.00</w:t>
            </w:r>
          </w:p>
        </w:tc>
      </w:tr>
      <w:tr w:rsidR="00037E3B" w:rsidRPr="003506E5" w14:paraId="1AB9B8B0" w14:textId="77777777" w:rsidTr="00D92D5F">
        <w:trPr>
          <w:trHeight w:val="315"/>
        </w:trPr>
        <w:tc>
          <w:tcPr>
            <w:cnfStyle w:val="001000000000" w:firstRow="0" w:lastRow="0" w:firstColumn="1" w:lastColumn="0" w:oddVBand="0" w:evenVBand="0" w:oddHBand="0" w:evenHBand="0" w:firstRowFirstColumn="0" w:firstRowLastColumn="0" w:lastRowFirstColumn="0" w:lastRowLastColumn="0"/>
            <w:tcW w:w="1527" w:type="dxa"/>
            <w:hideMark/>
          </w:tcPr>
          <w:p w14:paraId="03B8DB37" w14:textId="77777777" w:rsidR="00037E3B" w:rsidRPr="003506E5" w:rsidRDefault="00037E3B" w:rsidP="00D92D5F">
            <w:pPr>
              <w:spacing w:after="0" w:line="240" w:lineRule="auto"/>
              <w:rPr>
                <w:rFonts w:asciiTheme="minorHAnsi" w:hAnsiTheme="minorHAnsi" w:cstheme="minorHAnsi"/>
                <w:color w:val="000000"/>
                <w:sz w:val="20"/>
                <w:szCs w:val="20"/>
              </w:rPr>
            </w:pPr>
            <w:r w:rsidRPr="003506E5">
              <w:rPr>
                <w:rFonts w:asciiTheme="minorHAnsi" w:hAnsiTheme="minorHAnsi" w:cstheme="minorHAnsi"/>
                <w:color w:val="000000"/>
                <w:sz w:val="20"/>
                <w:szCs w:val="20"/>
              </w:rPr>
              <w:t>Total</w:t>
            </w:r>
          </w:p>
        </w:tc>
        <w:tc>
          <w:tcPr>
            <w:tcW w:w="1443" w:type="dxa"/>
            <w:noWrap/>
            <w:hideMark/>
          </w:tcPr>
          <w:p w14:paraId="65BE882C"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110,000.00</w:t>
            </w:r>
          </w:p>
        </w:tc>
        <w:tc>
          <w:tcPr>
            <w:tcW w:w="1350" w:type="dxa"/>
            <w:noWrap/>
            <w:hideMark/>
          </w:tcPr>
          <w:p w14:paraId="597AECDB"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6140.00</w:t>
            </w:r>
          </w:p>
        </w:tc>
        <w:tc>
          <w:tcPr>
            <w:tcW w:w="1350" w:type="dxa"/>
            <w:noWrap/>
            <w:hideMark/>
          </w:tcPr>
          <w:p w14:paraId="5BDD6479"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2640.00</w:t>
            </w:r>
          </w:p>
        </w:tc>
        <w:tc>
          <w:tcPr>
            <w:tcW w:w="1260" w:type="dxa"/>
            <w:noWrap/>
            <w:hideMark/>
          </w:tcPr>
          <w:p w14:paraId="57646AC5"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4500.00</w:t>
            </w:r>
          </w:p>
        </w:tc>
        <w:tc>
          <w:tcPr>
            <w:tcW w:w="1530" w:type="dxa"/>
            <w:noWrap/>
            <w:hideMark/>
          </w:tcPr>
          <w:p w14:paraId="4260E839"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102860.00</w:t>
            </w:r>
          </w:p>
        </w:tc>
      </w:tr>
      <w:tr w:rsidR="00957469" w:rsidRPr="003506E5" w14:paraId="27036516" w14:textId="77777777" w:rsidTr="00957469">
        <w:trPr>
          <w:trHeight w:val="315"/>
        </w:trPr>
        <w:tc>
          <w:tcPr>
            <w:cnfStyle w:val="001000000000" w:firstRow="0" w:lastRow="0" w:firstColumn="1" w:lastColumn="0" w:oddVBand="0" w:evenVBand="0" w:oddHBand="0" w:evenHBand="0" w:firstRowFirstColumn="0" w:firstRowLastColumn="0" w:lastRowFirstColumn="0" w:lastRowLastColumn="0"/>
            <w:tcW w:w="8460" w:type="dxa"/>
            <w:gridSpan w:val="6"/>
            <w:hideMark/>
          </w:tcPr>
          <w:p w14:paraId="61EEF394" w14:textId="77777777" w:rsidR="00957469" w:rsidRPr="003506E5" w:rsidRDefault="00957469" w:rsidP="00D92D5F">
            <w:pPr>
              <w:spacing w:after="0" w:line="240" w:lineRule="auto"/>
              <w:jc w:val="center"/>
              <w:rPr>
                <w:rFonts w:asciiTheme="minorHAnsi" w:hAnsiTheme="minorHAnsi" w:cstheme="minorHAnsi"/>
                <w:color w:val="000000"/>
                <w:sz w:val="20"/>
                <w:szCs w:val="20"/>
              </w:rPr>
            </w:pPr>
            <w:r w:rsidRPr="003506E5">
              <w:rPr>
                <w:rFonts w:asciiTheme="minorHAnsi" w:hAnsiTheme="minorHAnsi" w:cstheme="minorHAnsi"/>
                <w:color w:val="000000"/>
                <w:sz w:val="20"/>
                <w:szCs w:val="20"/>
              </w:rPr>
              <w:t>M&amp;E</w:t>
            </w:r>
          </w:p>
        </w:tc>
      </w:tr>
      <w:tr w:rsidR="00037E3B" w:rsidRPr="003506E5" w14:paraId="29561A0E" w14:textId="77777777" w:rsidTr="00D92D5F">
        <w:trPr>
          <w:trHeight w:val="315"/>
        </w:trPr>
        <w:tc>
          <w:tcPr>
            <w:cnfStyle w:val="001000000000" w:firstRow="0" w:lastRow="0" w:firstColumn="1" w:lastColumn="0" w:oddVBand="0" w:evenVBand="0" w:oddHBand="0" w:evenHBand="0" w:firstRowFirstColumn="0" w:firstRowLastColumn="0" w:lastRowFirstColumn="0" w:lastRowLastColumn="0"/>
            <w:tcW w:w="1527" w:type="dxa"/>
            <w:hideMark/>
          </w:tcPr>
          <w:p w14:paraId="4849BB2F" w14:textId="77777777" w:rsidR="00037E3B" w:rsidRPr="003506E5" w:rsidRDefault="00037E3B" w:rsidP="00D92D5F">
            <w:pPr>
              <w:spacing w:after="0" w:line="240" w:lineRule="auto"/>
              <w:rPr>
                <w:rFonts w:asciiTheme="minorHAnsi" w:hAnsiTheme="minorHAnsi" w:cstheme="minorHAnsi"/>
                <w:b w:val="0"/>
                <w:bCs/>
                <w:color w:val="000000"/>
                <w:sz w:val="20"/>
                <w:szCs w:val="20"/>
              </w:rPr>
            </w:pPr>
            <w:r w:rsidRPr="003506E5">
              <w:rPr>
                <w:rFonts w:asciiTheme="minorHAnsi" w:hAnsiTheme="minorHAnsi" w:cstheme="minorHAnsi"/>
                <w:b w:val="0"/>
                <w:bCs/>
                <w:color w:val="000000"/>
                <w:sz w:val="20"/>
                <w:szCs w:val="20"/>
              </w:rPr>
              <w:t>OPM</w:t>
            </w:r>
          </w:p>
        </w:tc>
        <w:tc>
          <w:tcPr>
            <w:tcW w:w="1443" w:type="dxa"/>
            <w:noWrap/>
            <w:hideMark/>
          </w:tcPr>
          <w:p w14:paraId="4F9ECAC5"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506E5">
              <w:rPr>
                <w:rFonts w:asciiTheme="minorHAnsi" w:hAnsiTheme="minorHAnsi" w:cstheme="minorHAnsi"/>
                <w:sz w:val="20"/>
                <w:szCs w:val="20"/>
              </w:rPr>
              <w:t>90,000.00</w:t>
            </w:r>
          </w:p>
        </w:tc>
        <w:tc>
          <w:tcPr>
            <w:tcW w:w="1350" w:type="dxa"/>
            <w:noWrap/>
            <w:hideMark/>
          </w:tcPr>
          <w:p w14:paraId="19D5D976"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506E5">
              <w:rPr>
                <w:rFonts w:asciiTheme="minorHAnsi" w:hAnsiTheme="minorHAnsi" w:cstheme="minorHAnsi"/>
                <w:sz w:val="20"/>
                <w:szCs w:val="20"/>
              </w:rPr>
              <w:t>338,623.00</w:t>
            </w:r>
          </w:p>
        </w:tc>
        <w:tc>
          <w:tcPr>
            <w:tcW w:w="1350" w:type="dxa"/>
            <w:noWrap/>
            <w:hideMark/>
          </w:tcPr>
          <w:p w14:paraId="3C043AF1"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160,333.00</w:t>
            </w:r>
          </w:p>
        </w:tc>
        <w:tc>
          <w:tcPr>
            <w:tcW w:w="1260" w:type="dxa"/>
            <w:noWrap/>
            <w:hideMark/>
          </w:tcPr>
          <w:p w14:paraId="0955F670"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0.00</w:t>
            </w:r>
          </w:p>
        </w:tc>
        <w:tc>
          <w:tcPr>
            <w:tcW w:w="1530" w:type="dxa"/>
            <w:noWrap/>
            <w:hideMark/>
          </w:tcPr>
          <w:p w14:paraId="41DBD3B8"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-70,333.00</w:t>
            </w:r>
          </w:p>
        </w:tc>
      </w:tr>
      <w:tr w:rsidR="00037E3B" w:rsidRPr="003506E5" w14:paraId="18C7363A" w14:textId="77777777" w:rsidTr="00D92D5F">
        <w:trPr>
          <w:trHeight w:val="315"/>
        </w:trPr>
        <w:tc>
          <w:tcPr>
            <w:cnfStyle w:val="001000000000" w:firstRow="0" w:lastRow="0" w:firstColumn="1" w:lastColumn="0" w:oddVBand="0" w:evenVBand="0" w:oddHBand="0" w:evenHBand="0" w:firstRowFirstColumn="0" w:firstRowLastColumn="0" w:lastRowFirstColumn="0" w:lastRowLastColumn="0"/>
            <w:tcW w:w="1527" w:type="dxa"/>
            <w:hideMark/>
          </w:tcPr>
          <w:p w14:paraId="67324740" w14:textId="77777777" w:rsidR="00037E3B" w:rsidRPr="003506E5" w:rsidRDefault="00037E3B" w:rsidP="00D92D5F">
            <w:pPr>
              <w:spacing w:after="0" w:line="240" w:lineRule="auto"/>
              <w:rPr>
                <w:rFonts w:asciiTheme="minorHAnsi" w:hAnsiTheme="minorHAnsi" w:cstheme="minorHAnsi"/>
                <w:b w:val="0"/>
                <w:bCs/>
                <w:color w:val="000000"/>
                <w:sz w:val="20"/>
                <w:szCs w:val="20"/>
              </w:rPr>
            </w:pPr>
            <w:r w:rsidRPr="003506E5">
              <w:rPr>
                <w:rFonts w:asciiTheme="minorHAnsi" w:hAnsiTheme="minorHAnsi" w:cstheme="minorHAnsi"/>
                <w:b w:val="0"/>
                <w:bCs/>
                <w:color w:val="000000"/>
                <w:sz w:val="20"/>
                <w:szCs w:val="20"/>
              </w:rPr>
              <w:t>RSPN</w:t>
            </w:r>
          </w:p>
        </w:tc>
        <w:tc>
          <w:tcPr>
            <w:tcW w:w="1443" w:type="dxa"/>
            <w:noWrap/>
            <w:hideMark/>
          </w:tcPr>
          <w:p w14:paraId="0EE45CFC"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506E5">
              <w:rPr>
                <w:rFonts w:asciiTheme="minorHAnsi" w:hAnsiTheme="minorHAnsi" w:cstheme="minorHAnsi"/>
                <w:sz w:val="20"/>
                <w:szCs w:val="20"/>
              </w:rPr>
              <w:t>0.00</w:t>
            </w:r>
          </w:p>
        </w:tc>
        <w:tc>
          <w:tcPr>
            <w:tcW w:w="1350" w:type="dxa"/>
            <w:noWrap/>
            <w:hideMark/>
          </w:tcPr>
          <w:p w14:paraId="69CFF740"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19,648.00</w:t>
            </w:r>
          </w:p>
        </w:tc>
        <w:tc>
          <w:tcPr>
            <w:tcW w:w="1350" w:type="dxa"/>
            <w:noWrap/>
            <w:hideMark/>
          </w:tcPr>
          <w:p w14:paraId="6A4D4BEE"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19,648.00</w:t>
            </w:r>
          </w:p>
        </w:tc>
        <w:tc>
          <w:tcPr>
            <w:tcW w:w="1260" w:type="dxa"/>
            <w:noWrap/>
            <w:hideMark/>
          </w:tcPr>
          <w:p w14:paraId="3266E911"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0.00</w:t>
            </w:r>
          </w:p>
        </w:tc>
        <w:tc>
          <w:tcPr>
            <w:tcW w:w="1530" w:type="dxa"/>
            <w:noWrap/>
            <w:hideMark/>
          </w:tcPr>
          <w:p w14:paraId="3107F177"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-19,648.00</w:t>
            </w:r>
          </w:p>
        </w:tc>
      </w:tr>
      <w:tr w:rsidR="00037E3B" w:rsidRPr="003506E5" w14:paraId="70A3995C" w14:textId="77777777" w:rsidTr="00D92D5F">
        <w:trPr>
          <w:trHeight w:val="315"/>
        </w:trPr>
        <w:tc>
          <w:tcPr>
            <w:cnfStyle w:val="001000000000" w:firstRow="0" w:lastRow="0" w:firstColumn="1" w:lastColumn="0" w:oddVBand="0" w:evenVBand="0" w:oddHBand="0" w:evenHBand="0" w:firstRowFirstColumn="0" w:firstRowLastColumn="0" w:lastRowFirstColumn="0" w:lastRowLastColumn="0"/>
            <w:tcW w:w="1527" w:type="dxa"/>
            <w:hideMark/>
          </w:tcPr>
          <w:p w14:paraId="2D781A4D" w14:textId="77777777" w:rsidR="00037E3B" w:rsidRPr="003506E5" w:rsidRDefault="00037E3B" w:rsidP="00D92D5F">
            <w:pPr>
              <w:spacing w:after="0" w:line="240" w:lineRule="auto"/>
              <w:rPr>
                <w:rFonts w:asciiTheme="minorHAnsi" w:hAnsiTheme="minorHAnsi" w:cstheme="minorHAnsi"/>
                <w:b w:val="0"/>
                <w:bCs/>
                <w:color w:val="000000"/>
                <w:sz w:val="20"/>
                <w:szCs w:val="20"/>
              </w:rPr>
            </w:pPr>
            <w:r w:rsidRPr="003506E5">
              <w:rPr>
                <w:rFonts w:asciiTheme="minorHAnsi" w:hAnsiTheme="minorHAnsi" w:cstheme="minorHAnsi"/>
                <w:b w:val="0"/>
                <w:bCs/>
                <w:color w:val="000000"/>
                <w:sz w:val="20"/>
                <w:szCs w:val="20"/>
              </w:rPr>
              <w:t>RSPN</w:t>
            </w:r>
          </w:p>
        </w:tc>
        <w:tc>
          <w:tcPr>
            <w:tcW w:w="1443" w:type="dxa"/>
            <w:noWrap/>
            <w:hideMark/>
          </w:tcPr>
          <w:p w14:paraId="7395BD88"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506E5">
              <w:rPr>
                <w:rFonts w:asciiTheme="minorHAnsi" w:hAnsiTheme="minorHAnsi" w:cstheme="minorHAnsi"/>
                <w:sz w:val="20"/>
                <w:szCs w:val="20"/>
              </w:rPr>
              <w:t>0.00</w:t>
            </w:r>
          </w:p>
        </w:tc>
        <w:tc>
          <w:tcPr>
            <w:tcW w:w="1350" w:type="dxa"/>
            <w:noWrap/>
            <w:hideMark/>
          </w:tcPr>
          <w:p w14:paraId="52950823"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24,976.00</w:t>
            </w:r>
          </w:p>
        </w:tc>
        <w:tc>
          <w:tcPr>
            <w:tcW w:w="1350" w:type="dxa"/>
            <w:noWrap/>
            <w:hideMark/>
          </w:tcPr>
          <w:p w14:paraId="3A65F8C3"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24,976.00</w:t>
            </w:r>
          </w:p>
        </w:tc>
        <w:tc>
          <w:tcPr>
            <w:tcW w:w="1260" w:type="dxa"/>
            <w:noWrap/>
            <w:hideMark/>
          </w:tcPr>
          <w:p w14:paraId="750526B4"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0.00</w:t>
            </w:r>
          </w:p>
        </w:tc>
        <w:tc>
          <w:tcPr>
            <w:tcW w:w="1530" w:type="dxa"/>
            <w:noWrap/>
            <w:hideMark/>
          </w:tcPr>
          <w:p w14:paraId="61AACDBC"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-24,976.00</w:t>
            </w:r>
          </w:p>
        </w:tc>
      </w:tr>
      <w:tr w:rsidR="00037E3B" w:rsidRPr="003506E5" w14:paraId="5783D370" w14:textId="77777777" w:rsidTr="00D92D5F">
        <w:trPr>
          <w:trHeight w:val="169"/>
        </w:trPr>
        <w:tc>
          <w:tcPr>
            <w:cnfStyle w:val="001000000000" w:firstRow="0" w:lastRow="0" w:firstColumn="1" w:lastColumn="0" w:oddVBand="0" w:evenVBand="0" w:oddHBand="0" w:evenHBand="0" w:firstRowFirstColumn="0" w:firstRowLastColumn="0" w:lastRowFirstColumn="0" w:lastRowLastColumn="0"/>
            <w:tcW w:w="1527" w:type="dxa"/>
            <w:hideMark/>
          </w:tcPr>
          <w:p w14:paraId="4F3F461F" w14:textId="77777777" w:rsidR="00037E3B" w:rsidRPr="003506E5" w:rsidRDefault="00037E3B" w:rsidP="00D92D5F">
            <w:pPr>
              <w:spacing w:after="0" w:line="240" w:lineRule="auto"/>
              <w:rPr>
                <w:rFonts w:asciiTheme="minorHAnsi" w:hAnsiTheme="minorHAnsi" w:cstheme="minorHAnsi"/>
                <w:color w:val="000000"/>
                <w:sz w:val="20"/>
                <w:szCs w:val="20"/>
              </w:rPr>
            </w:pPr>
            <w:r w:rsidRPr="003506E5">
              <w:rPr>
                <w:rFonts w:asciiTheme="minorHAnsi" w:hAnsiTheme="minorHAnsi" w:cstheme="minorHAnsi"/>
                <w:color w:val="000000"/>
                <w:sz w:val="20"/>
                <w:szCs w:val="20"/>
              </w:rPr>
              <w:t>Total</w:t>
            </w:r>
          </w:p>
        </w:tc>
        <w:tc>
          <w:tcPr>
            <w:tcW w:w="1443" w:type="dxa"/>
            <w:noWrap/>
            <w:hideMark/>
          </w:tcPr>
          <w:p w14:paraId="4971FC16"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90,000.00</w:t>
            </w:r>
          </w:p>
        </w:tc>
        <w:tc>
          <w:tcPr>
            <w:tcW w:w="1350" w:type="dxa"/>
            <w:noWrap/>
            <w:hideMark/>
          </w:tcPr>
          <w:p w14:paraId="34E0B641"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383,247.00</w:t>
            </w:r>
          </w:p>
        </w:tc>
        <w:tc>
          <w:tcPr>
            <w:tcW w:w="1350" w:type="dxa"/>
            <w:noWrap/>
            <w:hideMark/>
          </w:tcPr>
          <w:p w14:paraId="2BBCA26C"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204,957.00</w:t>
            </w:r>
          </w:p>
        </w:tc>
        <w:tc>
          <w:tcPr>
            <w:tcW w:w="1260" w:type="dxa"/>
            <w:noWrap/>
            <w:hideMark/>
          </w:tcPr>
          <w:p w14:paraId="7EAFD5A8"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0.00</w:t>
            </w:r>
          </w:p>
        </w:tc>
        <w:tc>
          <w:tcPr>
            <w:tcW w:w="1530" w:type="dxa"/>
            <w:noWrap/>
            <w:hideMark/>
          </w:tcPr>
          <w:p w14:paraId="3AA498B9"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-114,957.00</w:t>
            </w:r>
          </w:p>
        </w:tc>
      </w:tr>
      <w:tr w:rsidR="00037E3B" w:rsidRPr="003506E5" w14:paraId="02E50827" w14:textId="77777777" w:rsidTr="00D92D5F">
        <w:trPr>
          <w:trHeight w:val="315"/>
        </w:trPr>
        <w:tc>
          <w:tcPr>
            <w:cnfStyle w:val="001000000000" w:firstRow="0" w:lastRow="0" w:firstColumn="1" w:lastColumn="0" w:oddVBand="0" w:evenVBand="0" w:oddHBand="0" w:evenHBand="0" w:firstRowFirstColumn="0" w:firstRowLastColumn="0" w:lastRowFirstColumn="0" w:lastRowLastColumn="0"/>
            <w:tcW w:w="1527" w:type="dxa"/>
            <w:hideMark/>
          </w:tcPr>
          <w:p w14:paraId="77534E8B" w14:textId="77777777" w:rsidR="00037E3B" w:rsidRPr="003506E5" w:rsidRDefault="00037E3B" w:rsidP="00D92D5F">
            <w:pPr>
              <w:spacing w:after="0" w:line="240" w:lineRule="auto"/>
              <w:rPr>
                <w:rFonts w:asciiTheme="minorHAnsi" w:hAnsiTheme="minorHAnsi" w:cstheme="minorHAnsi"/>
                <w:color w:val="000000"/>
                <w:sz w:val="20"/>
                <w:szCs w:val="20"/>
              </w:rPr>
            </w:pPr>
            <w:r w:rsidRPr="003506E5">
              <w:rPr>
                <w:rFonts w:asciiTheme="minorHAnsi" w:hAnsiTheme="minorHAnsi" w:cstheme="minorHAnsi"/>
                <w:color w:val="000000"/>
                <w:sz w:val="20"/>
                <w:szCs w:val="20"/>
              </w:rPr>
              <w:t>OD</w:t>
            </w:r>
          </w:p>
        </w:tc>
        <w:tc>
          <w:tcPr>
            <w:tcW w:w="1443" w:type="dxa"/>
            <w:noWrap/>
            <w:hideMark/>
          </w:tcPr>
          <w:p w14:paraId="51F9290D"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506E5">
              <w:rPr>
                <w:rFonts w:asciiTheme="minorHAnsi" w:hAnsiTheme="minorHAnsi" w:cstheme="minorHAnsi"/>
                <w:sz w:val="20"/>
                <w:szCs w:val="20"/>
              </w:rPr>
              <w:t>300,000.00</w:t>
            </w:r>
          </w:p>
        </w:tc>
        <w:tc>
          <w:tcPr>
            <w:tcW w:w="1350" w:type="dxa"/>
            <w:noWrap/>
            <w:hideMark/>
          </w:tcPr>
          <w:p w14:paraId="5EA8A99E"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240,624</w:t>
            </w:r>
          </w:p>
        </w:tc>
        <w:tc>
          <w:tcPr>
            <w:tcW w:w="1350" w:type="dxa"/>
            <w:noWrap/>
            <w:hideMark/>
          </w:tcPr>
          <w:p w14:paraId="078000B2"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240,624.00</w:t>
            </w:r>
          </w:p>
        </w:tc>
        <w:tc>
          <w:tcPr>
            <w:tcW w:w="1260" w:type="dxa"/>
            <w:noWrap/>
            <w:hideMark/>
          </w:tcPr>
          <w:p w14:paraId="54A76E86"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0.00</w:t>
            </w:r>
          </w:p>
        </w:tc>
        <w:tc>
          <w:tcPr>
            <w:tcW w:w="1530" w:type="dxa"/>
            <w:noWrap/>
            <w:hideMark/>
          </w:tcPr>
          <w:p w14:paraId="3647FDEC"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59,376.00</w:t>
            </w:r>
          </w:p>
        </w:tc>
      </w:tr>
      <w:tr w:rsidR="00037E3B" w:rsidRPr="003506E5" w14:paraId="7D3547D0" w14:textId="77777777" w:rsidTr="00D92D5F">
        <w:trPr>
          <w:trHeight w:val="315"/>
        </w:trPr>
        <w:tc>
          <w:tcPr>
            <w:cnfStyle w:val="001000000000" w:firstRow="0" w:lastRow="0" w:firstColumn="1" w:lastColumn="0" w:oddVBand="0" w:evenVBand="0" w:oddHBand="0" w:evenHBand="0" w:firstRowFirstColumn="0" w:firstRowLastColumn="0" w:lastRowFirstColumn="0" w:lastRowLastColumn="0"/>
            <w:tcW w:w="1527" w:type="dxa"/>
            <w:hideMark/>
          </w:tcPr>
          <w:p w14:paraId="2776633C" w14:textId="77777777" w:rsidR="00037E3B" w:rsidRPr="003506E5" w:rsidRDefault="00037E3B" w:rsidP="00D92D5F">
            <w:pPr>
              <w:spacing w:after="0" w:line="240" w:lineRule="auto"/>
              <w:rPr>
                <w:rFonts w:asciiTheme="minorHAnsi" w:hAnsiTheme="minorHAnsi" w:cstheme="minorHAnsi"/>
                <w:color w:val="000000"/>
                <w:sz w:val="20"/>
                <w:szCs w:val="20"/>
              </w:rPr>
            </w:pPr>
            <w:r w:rsidRPr="003506E5">
              <w:rPr>
                <w:rFonts w:asciiTheme="minorHAnsi" w:hAnsiTheme="minorHAnsi" w:cstheme="minorHAnsi"/>
                <w:color w:val="000000"/>
                <w:sz w:val="20"/>
                <w:szCs w:val="20"/>
              </w:rPr>
              <w:t>Contingency</w:t>
            </w:r>
          </w:p>
        </w:tc>
        <w:tc>
          <w:tcPr>
            <w:tcW w:w="1443" w:type="dxa"/>
            <w:noWrap/>
            <w:hideMark/>
          </w:tcPr>
          <w:p w14:paraId="03C9CEF1"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126,223.00</w:t>
            </w:r>
          </w:p>
        </w:tc>
        <w:tc>
          <w:tcPr>
            <w:tcW w:w="1350" w:type="dxa"/>
            <w:noWrap/>
            <w:hideMark/>
          </w:tcPr>
          <w:p w14:paraId="7014AB5F"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0.00</w:t>
            </w:r>
          </w:p>
        </w:tc>
        <w:tc>
          <w:tcPr>
            <w:tcW w:w="1350" w:type="dxa"/>
            <w:noWrap/>
            <w:hideMark/>
          </w:tcPr>
          <w:p w14:paraId="63FF41B6"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0.00</w:t>
            </w:r>
          </w:p>
        </w:tc>
        <w:tc>
          <w:tcPr>
            <w:tcW w:w="1260" w:type="dxa"/>
            <w:noWrap/>
            <w:hideMark/>
          </w:tcPr>
          <w:p w14:paraId="5288DA07"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0.00</w:t>
            </w:r>
          </w:p>
        </w:tc>
        <w:tc>
          <w:tcPr>
            <w:tcW w:w="1530" w:type="dxa"/>
            <w:noWrap/>
            <w:hideMark/>
          </w:tcPr>
          <w:p w14:paraId="6721227F"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126,223.00</w:t>
            </w:r>
          </w:p>
        </w:tc>
      </w:tr>
      <w:tr w:rsidR="00037E3B" w:rsidRPr="003506E5" w14:paraId="3FBDFDAB" w14:textId="77777777" w:rsidTr="00D92D5F">
        <w:trPr>
          <w:trHeight w:val="315"/>
        </w:trPr>
        <w:tc>
          <w:tcPr>
            <w:cnfStyle w:val="001000000000" w:firstRow="0" w:lastRow="0" w:firstColumn="1" w:lastColumn="0" w:oddVBand="0" w:evenVBand="0" w:oddHBand="0" w:evenHBand="0" w:firstRowFirstColumn="0" w:firstRowLastColumn="0" w:lastRowFirstColumn="0" w:lastRowLastColumn="0"/>
            <w:tcW w:w="1527" w:type="dxa"/>
            <w:noWrap/>
            <w:hideMark/>
          </w:tcPr>
          <w:p w14:paraId="0010E310" w14:textId="77777777" w:rsidR="00037E3B" w:rsidRPr="003506E5" w:rsidRDefault="00037E3B" w:rsidP="00D92D5F">
            <w:pPr>
              <w:spacing w:after="0" w:line="240" w:lineRule="auto"/>
              <w:rPr>
                <w:rFonts w:asciiTheme="minorHAnsi" w:hAnsiTheme="minorHAnsi" w:cstheme="minorHAnsi"/>
                <w:color w:val="000000"/>
                <w:sz w:val="20"/>
                <w:szCs w:val="20"/>
              </w:rPr>
            </w:pPr>
            <w:r w:rsidRPr="003506E5">
              <w:rPr>
                <w:rFonts w:asciiTheme="minorHAnsi" w:hAnsiTheme="minorHAnsi" w:cstheme="minorHAnsi"/>
                <w:color w:val="000000"/>
                <w:sz w:val="20"/>
                <w:szCs w:val="20"/>
              </w:rPr>
              <w:t>Total</w:t>
            </w:r>
          </w:p>
        </w:tc>
        <w:tc>
          <w:tcPr>
            <w:tcW w:w="1443" w:type="dxa"/>
            <w:noWrap/>
            <w:hideMark/>
          </w:tcPr>
          <w:p w14:paraId="22E390E4"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1,000,000.00</w:t>
            </w:r>
          </w:p>
        </w:tc>
        <w:tc>
          <w:tcPr>
            <w:tcW w:w="1350" w:type="dxa"/>
            <w:noWrap/>
            <w:hideMark/>
          </w:tcPr>
          <w:p w14:paraId="0F3A3786"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947,323.00</w:t>
            </w:r>
          </w:p>
        </w:tc>
        <w:tc>
          <w:tcPr>
            <w:tcW w:w="1350" w:type="dxa"/>
            <w:noWrap/>
            <w:hideMark/>
          </w:tcPr>
          <w:p w14:paraId="4770D5BD"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669,277.00</w:t>
            </w:r>
          </w:p>
        </w:tc>
        <w:tc>
          <w:tcPr>
            <w:tcW w:w="1260" w:type="dxa"/>
            <w:noWrap/>
            <w:hideMark/>
          </w:tcPr>
          <w:p w14:paraId="4EC48721"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46459.00</w:t>
            </w:r>
          </w:p>
        </w:tc>
        <w:tc>
          <w:tcPr>
            <w:tcW w:w="1530" w:type="dxa"/>
            <w:noWrap/>
            <w:hideMark/>
          </w:tcPr>
          <w:p w14:paraId="6480E42A" w14:textId="77777777" w:rsidR="00037E3B" w:rsidRPr="003506E5" w:rsidRDefault="00037E3B" w:rsidP="00D92D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06E5">
              <w:rPr>
                <w:rFonts w:asciiTheme="minorHAnsi" w:hAnsiTheme="minorHAnsi" w:cstheme="minorHAnsi"/>
                <w:color w:val="000000"/>
                <w:sz w:val="20"/>
                <w:szCs w:val="20"/>
              </w:rPr>
              <w:t>282870.00</w:t>
            </w:r>
          </w:p>
        </w:tc>
      </w:tr>
    </w:tbl>
    <w:p w14:paraId="76B95DDD" w14:textId="77777777" w:rsidR="00037E3B" w:rsidRPr="003506E5" w:rsidRDefault="00037E3B" w:rsidP="00037E3B">
      <w:pPr>
        <w:rPr>
          <w:rFonts w:asciiTheme="minorBidi" w:hAnsiTheme="minorBidi"/>
        </w:rPr>
      </w:pPr>
    </w:p>
    <w:p w14:paraId="4052D1D5" w14:textId="4196DF10" w:rsidR="00EC35D5" w:rsidRPr="003506E5" w:rsidRDefault="005067B3" w:rsidP="003506E5">
      <w:pPr>
        <w:pStyle w:val="BodyText"/>
      </w:pPr>
      <w:r w:rsidRPr="003506E5">
        <w:t>The c</w:t>
      </w:r>
      <w:r w:rsidR="00F713C7" w:rsidRPr="003506E5">
        <w:t xml:space="preserve">ontract between the GoGB and AKDN Consortium for implementation of the scheme was signed in April 2015 for provision of services for a period of 5 years but actual provision of services started in August 2016. The provision of services under the contract was therefore to continue till July 2021. Premium for 4 years has already been disbursed. Withdrawal application for payment of premium for the 5th year </w:t>
      </w:r>
      <w:r w:rsidR="00A66896" w:rsidRPr="003506E5">
        <w:t>was submitted to KfW on 11 December 2020, however disbursement of it is still awaited</w:t>
      </w:r>
      <w:r w:rsidR="00F713C7" w:rsidRPr="003506E5">
        <w:t xml:space="preserve">. Audit fee has been paid for 3 years. </w:t>
      </w:r>
      <w:r w:rsidR="00A66896" w:rsidRPr="003506E5">
        <w:t>Auditor for</w:t>
      </w:r>
      <w:r w:rsidR="00F713C7" w:rsidRPr="003506E5">
        <w:t xml:space="preserve"> year</w:t>
      </w:r>
      <w:r w:rsidR="00A66896" w:rsidRPr="003506E5">
        <w:t>s</w:t>
      </w:r>
      <w:r w:rsidR="00F713C7" w:rsidRPr="003506E5">
        <w:t xml:space="preserve"> 4</w:t>
      </w:r>
      <w:r w:rsidR="00A66896" w:rsidRPr="003506E5">
        <w:rPr>
          <w:vertAlign w:val="superscript"/>
        </w:rPr>
        <w:t>th</w:t>
      </w:r>
      <w:r w:rsidR="00A66896" w:rsidRPr="003506E5">
        <w:t xml:space="preserve"> and 5</w:t>
      </w:r>
      <w:r w:rsidR="00A66896" w:rsidRPr="003506E5">
        <w:rPr>
          <w:vertAlign w:val="superscript"/>
        </w:rPr>
        <w:t>th</w:t>
      </w:r>
      <w:r w:rsidR="00A66896" w:rsidRPr="003506E5">
        <w:t xml:space="preserve"> has been selected and contract has been awarded to selected firm by PMU-GB. </w:t>
      </w:r>
      <w:r w:rsidR="00F713C7" w:rsidRPr="003506E5">
        <w:t xml:space="preserve">Payment to OPM has been made for the entire period of 5 years ending March 2020. After disbursement of all the funds related to the present activities there is a saving of Euros 0.282 million. </w:t>
      </w:r>
    </w:p>
    <w:p w14:paraId="4448BD9B" w14:textId="6FA854CC" w:rsidR="00EC35D5" w:rsidRPr="003506E5" w:rsidRDefault="00F713C7" w:rsidP="00EC35D5">
      <w:pPr>
        <w:pStyle w:val="BodyText"/>
      </w:pPr>
      <w:r w:rsidRPr="003506E5">
        <w:t xml:space="preserve">KfW asked OPM to suggest options for disbursement of this amount. But during KfW mission visit to Gilgit and meeting </w:t>
      </w:r>
      <w:r w:rsidR="003506E5" w:rsidRPr="003506E5">
        <w:t xml:space="preserve">with </w:t>
      </w:r>
      <w:r w:rsidRPr="003506E5">
        <w:t xml:space="preserve">the GB government officials an understanding was reached between GoGB and KfW that in Gilgit district the GB government will continue to provide both </w:t>
      </w:r>
      <w:r w:rsidRPr="003506E5">
        <w:lastRenderedPageBreak/>
        <w:t xml:space="preserve">secondary and selective priority care services to population below 32.5 PMT with KfW funding. KfW agreed to allocate additional funds for the extended phase of SHPI in Gilgit Baltistan. A Separate Agreement (SA) in this regard was signed between KfW and Deportment of Health GB on 18 August 2019. According to this SA KfW committed to allocate Euro 2.6 million for the extended phase including piloting of coverage of Outpatient Services and funding the existing SHPI for two years in Gilgit district. </w:t>
      </w:r>
    </w:p>
    <w:p w14:paraId="359ECC5C" w14:textId="45DE861E" w:rsidR="00F713C7" w:rsidRPr="003506E5" w:rsidRDefault="00F713C7" w:rsidP="003506E5">
      <w:pPr>
        <w:pStyle w:val="BodyText"/>
        <w:rPr>
          <w:sz w:val="24"/>
          <w:szCs w:val="24"/>
        </w:rPr>
      </w:pPr>
      <w:r w:rsidRPr="003506E5">
        <w:t>Based on this SA, DOH GB prepared a PC-1 for this extended phase of SHPI for a period of three years with enhanced population and benefit package. The population coverage will be increased from 16.17 to 32.5 PMT score and benefit package will include priority tertiary care. The cost of premium of IPD services (</w:t>
      </w:r>
      <w:r w:rsidR="005067B3" w:rsidRPr="003506E5">
        <w:t>s</w:t>
      </w:r>
      <w:r w:rsidRPr="003506E5">
        <w:t>econdary and priority tertiary care hospitali</w:t>
      </w:r>
      <w:r w:rsidR="00F44D8F" w:rsidRPr="003506E5">
        <w:t>s</w:t>
      </w:r>
      <w:r w:rsidRPr="003506E5">
        <w:t xml:space="preserve">ation) for this coverage during the initial two years will be co-financed by KfW and Government of GB and for last year all premium cost will be borne by the GB Government. PC-I for the extension is </w:t>
      </w:r>
      <w:r w:rsidR="003506E5">
        <w:t xml:space="preserve">still </w:t>
      </w:r>
      <w:r w:rsidRPr="003506E5">
        <w:t>pending approval of the Federal government</w:t>
      </w:r>
      <w:r w:rsidR="003506E5">
        <w:t xml:space="preserve">. </w:t>
      </w:r>
    </w:p>
    <w:p w14:paraId="2812B23A" w14:textId="69B2ED9A" w:rsidR="00F713C7" w:rsidRPr="003506E5" w:rsidRDefault="00BD6F76" w:rsidP="00B40629">
      <w:pPr>
        <w:pStyle w:val="Heading20"/>
      </w:pPr>
      <w:bookmarkStart w:id="5" w:name="_Toc57215267"/>
      <w:r w:rsidRPr="003506E5">
        <w:t>Organisational Development (</w:t>
      </w:r>
      <w:r w:rsidR="00F713C7" w:rsidRPr="003506E5">
        <w:t>OD</w:t>
      </w:r>
      <w:r w:rsidRPr="003506E5">
        <w:t>)</w:t>
      </w:r>
      <w:r w:rsidR="00F713C7" w:rsidRPr="003506E5">
        <w:t xml:space="preserve"> Funds</w:t>
      </w:r>
      <w:bookmarkEnd w:id="5"/>
    </w:p>
    <w:p w14:paraId="704C1583" w14:textId="77777777" w:rsidR="00F713C7" w:rsidRPr="003506E5" w:rsidRDefault="00F713C7" w:rsidP="00F713C7">
      <w:pPr>
        <w:rPr>
          <w:rFonts w:asciiTheme="minorBidi" w:hAnsiTheme="minorBidi"/>
        </w:rPr>
      </w:pPr>
      <w:r w:rsidRPr="003506E5">
        <w:rPr>
          <w:rFonts w:asciiTheme="minorBidi" w:hAnsiTheme="minorBidi"/>
        </w:rPr>
        <w:t xml:space="preserve">The entire amount of approved OD funds for both KP and GB has been disbursed. </w:t>
      </w:r>
    </w:p>
    <w:p w14:paraId="4BA1D797" w14:textId="77777777" w:rsidR="00F713C7" w:rsidRPr="003506E5" w:rsidRDefault="00BD6F76" w:rsidP="00B40629">
      <w:pPr>
        <w:pStyle w:val="Heading3"/>
      </w:pPr>
      <w:bookmarkStart w:id="6" w:name="_Toc57215268"/>
      <w:r w:rsidRPr="003506E5">
        <w:t>Gilgit Baltistan</w:t>
      </w:r>
      <w:bookmarkEnd w:id="6"/>
    </w:p>
    <w:p w14:paraId="08B5D180" w14:textId="77777777" w:rsidR="0062709B" w:rsidRDefault="00BD6F76" w:rsidP="0062709B">
      <w:pPr>
        <w:pStyle w:val="BodyText"/>
      </w:pPr>
      <w:r w:rsidRPr="003506E5">
        <w:t xml:space="preserve">During reporting period there was total spending of PKR </w:t>
      </w:r>
      <w:r w:rsidR="003506E5" w:rsidRPr="003506E5">
        <w:t>1,205,777</w:t>
      </w:r>
      <w:r w:rsidRPr="003506E5">
        <w:t xml:space="preserve"> out of the OD fund on running cost of Social Mobilisation and Coordination. </w:t>
      </w:r>
    </w:p>
    <w:p w14:paraId="1AD895D9" w14:textId="74866234" w:rsidR="00EC35D5" w:rsidRDefault="00BD6F76" w:rsidP="0062709B">
      <w:pPr>
        <w:pStyle w:val="BodyText"/>
      </w:pPr>
      <w:r w:rsidRPr="003506E5">
        <w:t xml:space="preserve">The procurement </w:t>
      </w:r>
      <w:r w:rsidR="0062709B">
        <w:t xml:space="preserve">process </w:t>
      </w:r>
      <w:r w:rsidRPr="003506E5">
        <w:t xml:space="preserve">of consultancy services for three major components of OD Fund plan namely (a) preparation of a </w:t>
      </w:r>
      <w:r w:rsidR="00016410" w:rsidRPr="003506E5">
        <w:t>v</w:t>
      </w:r>
      <w:r w:rsidRPr="003506E5">
        <w:t xml:space="preserve">ideo documentary on SHPI in Gilgit, (b) carrying out a field assessment to document the </w:t>
      </w:r>
      <w:r w:rsidR="0062709B">
        <w:t>key features of</w:t>
      </w:r>
      <w:r w:rsidRPr="003506E5">
        <w:t xml:space="preserve"> </w:t>
      </w:r>
      <w:r w:rsidR="0062709B">
        <w:t xml:space="preserve">the </w:t>
      </w:r>
      <w:r w:rsidRPr="003506E5">
        <w:t xml:space="preserve">health insurance and (c) development of Management Information System </w:t>
      </w:r>
      <w:r w:rsidR="00016410" w:rsidRPr="003506E5">
        <w:t xml:space="preserve">(MIS) </w:t>
      </w:r>
      <w:r w:rsidRPr="003506E5">
        <w:t xml:space="preserve">for </w:t>
      </w:r>
      <w:r w:rsidR="00016410" w:rsidRPr="003506E5">
        <w:t xml:space="preserve">the </w:t>
      </w:r>
      <w:r w:rsidRPr="003506E5">
        <w:t xml:space="preserve">SHP-Micro Health Insurance was </w:t>
      </w:r>
      <w:r w:rsidR="0062709B">
        <w:t>completed</w:t>
      </w:r>
      <w:r w:rsidRPr="003506E5">
        <w:t xml:space="preserve">. </w:t>
      </w:r>
      <w:r w:rsidR="0062709B">
        <w:t xml:space="preserve">KfW has also granted ‘No Objection’ on procurement of the consultancy services. The contracts to consultants/firms are being awarded. The work on these assignments will be completed by end of April 2021. </w:t>
      </w:r>
    </w:p>
    <w:p w14:paraId="62725069" w14:textId="7D6A3C63" w:rsidR="00AE1F89" w:rsidRDefault="00AE1F89" w:rsidP="0062709B">
      <w:pPr>
        <w:pStyle w:val="BodyText"/>
      </w:pPr>
      <w:r>
        <w:t>The following table gives detail of funds received and expenditure made under OD fund.</w:t>
      </w:r>
    </w:p>
    <w:tbl>
      <w:tblPr>
        <w:tblStyle w:val="TableGrid"/>
        <w:tblW w:w="0" w:type="auto"/>
        <w:tblLook w:val="04A0" w:firstRow="1" w:lastRow="0" w:firstColumn="1" w:lastColumn="0" w:noHBand="0" w:noVBand="1"/>
      </w:tblPr>
      <w:tblGrid>
        <w:gridCol w:w="6475"/>
        <w:gridCol w:w="2535"/>
      </w:tblGrid>
      <w:tr w:rsidR="00AE1F89" w:rsidRPr="008D6B43" w14:paraId="5806B725" w14:textId="77777777" w:rsidTr="00D03A56">
        <w:trPr>
          <w:trHeight w:val="314"/>
        </w:trPr>
        <w:tc>
          <w:tcPr>
            <w:tcW w:w="6475" w:type="dxa"/>
            <w:shd w:val="clear" w:color="auto" w:fill="002060"/>
          </w:tcPr>
          <w:p w14:paraId="3E3D4398" w14:textId="77777777" w:rsidR="00AE1F89" w:rsidRPr="008D6B43" w:rsidRDefault="00AE1F89" w:rsidP="00D03A56">
            <w:pPr>
              <w:pStyle w:val="BodyText"/>
              <w:spacing w:after="0"/>
              <w:rPr>
                <w:b/>
                <w:bCs/>
                <w:sz w:val="20"/>
                <w:szCs w:val="20"/>
              </w:rPr>
            </w:pPr>
            <w:r w:rsidRPr="008D6B43">
              <w:rPr>
                <w:b/>
                <w:bCs/>
                <w:sz w:val="20"/>
                <w:szCs w:val="20"/>
              </w:rPr>
              <w:t>Detail</w:t>
            </w:r>
          </w:p>
        </w:tc>
        <w:tc>
          <w:tcPr>
            <w:tcW w:w="2535" w:type="dxa"/>
            <w:shd w:val="clear" w:color="auto" w:fill="002060"/>
          </w:tcPr>
          <w:p w14:paraId="4F570279" w14:textId="77777777" w:rsidR="00AE1F89" w:rsidRPr="008D6B43" w:rsidRDefault="00AE1F89" w:rsidP="00D03A56">
            <w:pPr>
              <w:pStyle w:val="BodyText"/>
              <w:spacing w:after="0"/>
              <w:rPr>
                <w:b/>
                <w:bCs/>
                <w:sz w:val="20"/>
                <w:szCs w:val="20"/>
              </w:rPr>
            </w:pPr>
            <w:r w:rsidRPr="008D6B43">
              <w:rPr>
                <w:b/>
                <w:bCs/>
                <w:sz w:val="20"/>
                <w:szCs w:val="20"/>
              </w:rPr>
              <w:t>Amount (PKR)</w:t>
            </w:r>
          </w:p>
        </w:tc>
      </w:tr>
      <w:tr w:rsidR="00AE1F89" w:rsidRPr="008D6B43" w14:paraId="6ED7CC3B" w14:textId="77777777" w:rsidTr="00D03A56">
        <w:trPr>
          <w:trHeight w:val="314"/>
        </w:trPr>
        <w:tc>
          <w:tcPr>
            <w:tcW w:w="6475" w:type="dxa"/>
            <w:shd w:val="clear" w:color="auto" w:fill="D9EDF9" w:themeFill="accent1" w:themeFillTint="33"/>
            <w:hideMark/>
          </w:tcPr>
          <w:p w14:paraId="14ACE275" w14:textId="77777777" w:rsidR="00AE1F89" w:rsidRPr="008D6B43" w:rsidRDefault="00AE1F89" w:rsidP="00D03A56">
            <w:pPr>
              <w:pStyle w:val="BodyText"/>
              <w:spacing w:after="0"/>
              <w:jc w:val="left"/>
              <w:rPr>
                <w:b/>
                <w:bCs/>
                <w:sz w:val="20"/>
                <w:szCs w:val="20"/>
              </w:rPr>
            </w:pPr>
            <w:r w:rsidRPr="008D6B43">
              <w:rPr>
                <w:b/>
                <w:bCs/>
                <w:sz w:val="20"/>
                <w:szCs w:val="20"/>
              </w:rPr>
              <w:t>Total Committed Amount (KfW) (2017-2018):</w:t>
            </w:r>
          </w:p>
        </w:tc>
        <w:tc>
          <w:tcPr>
            <w:tcW w:w="2535" w:type="dxa"/>
            <w:shd w:val="clear" w:color="auto" w:fill="D9EDF9" w:themeFill="accent1" w:themeFillTint="33"/>
            <w:hideMark/>
          </w:tcPr>
          <w:p w14:paraId="47785814" w14:textId="77777777" w:rsidR="00AE1F89" w:rsidRPr="008D6B43" w:rsidRDefault="00AE1F89" w:rsidP="00D03A56">
            <w:pPr>
              <w:pStyle w:val="BodyText"/>
              <w:spacing w:after="0"/>
              <w:jc w:val="center"/>
              <w:rPr>
                <w:b/>
                <w:bCs/>
                <w:sz w:val="20"/>
                <w:szCs w:val="20"/>
              </w:rPr>
            </w:pPr>
            <w:r w:rsidRPr="008D6B43">
              <w:rPr>
                <w:b/>
                <w:bCs/>
                <w:sz w:val="20"/>
                <w:szCs w:val="20"/>
              </w:rPr>
              <w:t>29,970,000</w:t>
            </w:r>
          </w:p>
        </w:tc>
      </w:tr>
      <w:tr w:rsidR="00AE1F89" w:rsidRPr="008D6B43" w14:paraId="62A4EBD1" w14:textId="77777777" w:rsidTr="00D03A56">
        <w:trPr>
          <w:trHeight w:val="310"/>
        </w:trPr>
        <w:tc>
          <w:tcPr>
            <w:tcW w:w="6475" w:type="dxa"/>
            <w:shd w:val="clear" w:color="auto" w:fill="D9EDF9" w:themeFill="accent1" w:themeFillTint="33"/>
            <w:hideMark/>
          </w:tcPr>
          <w:p w14:paraId="67C2F2E2" w14:textId="77777777" w:rsidR="00AE1F89" w:rsidRPr="008D6B43" w:rsidRDefault="00AE1F89" w:rsidP="00D03A56">
            <w:pPr>
              <w:pStyle w:val="BodyText"/>
              <w:spacing w:after="0"/>
              <w:jc w:val="left"/>
              <w:rPr>
                <w:b/>
                <w:bCs/>
                <w:sz w:val="20"/>
                <w:szCs w:val="20"/>
              </w:rPr>
            </w:pPr>
            <w:r w:rsidRPr="008D6B43">
              <w:rPr>
                <w:b/>
                <w:bCs/>
                <w:sz w:val="20"/>
                <w:szCs w:val="20"/>
              </w:rPr>
              <w:t xml:space="preserve">AKDN Contribution (OD funds) (2016-2020) </w:t>
            </w:r>
          </w:p>
        </w:tc>
        <w:tc>
          <w:tcPr>
            <w:tcW w:w="2535" w:type="dxa"/>
            <w:shd w:val="clear" w:color="auto" w:fill="D9EDF9" w:themeFill="accent1" w:themeFillTint="33"/>
            <w:hideMark/>
          </w:tcPr>
          <w:p w14:paraId="3CECC741" w14:textId="77777777" w:rsidR="00AE1F89" w:rsidRPr="008D6B43" w:rsidRDefault="00AE1F89" w:rsidP="00D03A56">
            <w:pPr>
              <w:pStyle w:val="BodyText"/>
              <w:spacing w:after="0"/>
              <w:jc w:val="center"/>
              <w:rPr>
                <w:b/>
                <w:bCs/>
                <w:sz w:val="20"/>
                <w:szCs w:val="20"/>
              </w:rPr>
            </w:pPr>
            <w:r w:rsidRPr="008D6B43">
              <w:rPr>
                <w:b/>
                <w:bCs/>
                <w:sz w:val="20"/>
                <w:szCs w:val="20"/>
              </w:rPr>
              <w:t>20,685,500</w:t>
            </w:r>
          </w:p>
        </w:tc>
      </w:tr>
      <w:tr w:rsidR="00AE1F89" w:rsidRPr="008D6B43" w14:paraId="462F715D" w14:textId="77777777" w:rsidTr="00D03A56">
        <w:trPr>
          <w:trHeight w:val="310"/>
        </w:trPr>
        <w:tc>
          <w:tcPr>
            <w:tcW w:w="6475" w:type="dxa"/>
            <w:shd w:val="clear" w:color="auto" w:fill="D9EDF9" w:themeFill="accent1" w:themeFillTint="33"/>
            <w:hideMark/>
          </w:tcPr>
          <w:p w14:paraId="6BF79DA5" w14:textId="77777777" w:rsidR="00AE1F89" w:rsidRPr="008D6B43" w:rsidRDefault="00AE1F89" w:rsidP="00D03A56">
            <w:pPr>
              <w:pStyle w:val="BodyText"/>
              <w:spacing w:after="0"/>
              <w:jc w:val="left"/>
              <w:rPr>
                <w:b/>
                <w:bCs/>
                <w:sz w:val="20"/>
                <w:szCs w:val="20"/>
              </w:rPr>
            </w:pPr>
            <w:r w:rsidRPr="008D6B43">
              <w:rPr>
                <w:b/>
                <w:bCs/>
                <w:sz w:val="20"/>
                <w:szCs w:val="20"/>
              </w:rPr>
              <w:t>Total OD expenditure incurred to date:</w:t>
            </w:r>
          </w:p>
        </w:tc>
        <w:tc>
          <w:tcPr>
            <w:tcW w:w="2535" w:type="dxa"/>
            <w:shd w:val="clear" w:color="auto" w:fill="D9EDF9" w:themeFill="accent1" w:themeFillTint="33"/>
            <w:hideMark/>
          </w:tcPr>
          <w:p w14:paraId="1567B24A" w14:textId="77777777" w:rsidR="00AE1F89" w:rsidRPr="008D6B43" w:rsidRDefault="00AE1F89" w:rsidP="00D03A56">
            <w:pPr>
              <w:pStyle w:val="BodyText"/>
              <w:spacing w:after="0"/>
              <w:jc w:val="center"/>
              <w:rPr>
                <w:b/>
                <w:bCs/>
                <w:sz w:val="20"/>
                <w:szCs w:val="20"/>
              </w:rPr>
            </w:pPr>
            <w:r w:rsidRPr="008D6B43">
              <w:rPr>
                <w:b/>
                <w:bCs/>
                <w:sz w:val="20"/>
                <w:szCs w:val="20"/>
              </w:rPr>
              <w:t>27,052,973</w:t>
            </w:r>
          </w:p>
        </w:tc>
      </w:tr>
      <w:tr w:rsidR="00AE1F89" w:rsidRPr="008D6B43" w14:paraId="7BE9D948" w14:textId="77777777" w:rsidTr="00D03A56">
        <w:trPr>
          <w:trHeight w:val="310"/>
        </w:trPr>
        <w:tc>
          <w:tcPr>
            <w:tcW w:w="6475" w:type="dxa"/>
            <w:shd w:val="clear" w:color="auto" w:fill="D9EDF9" w:themeFill="accent1" w:themeFillTint="33"/>
            <w:hideMark/>
          </w:tcPr>
          <w:p w14:paraId="251CC445" w14:textId="77777777" w:rsidR="00AE1F89" w:rsidRPr="008D6B43" w:rsidRDefault="00AE1F89" w:rsidP="00D03A56">
            <w:pPr>
              <w:pStyle w:val="BodyText"/>
              <w:spacing w:after="0"/>
              <w:jc w:val="left"/>
              <w:rPr>
                <w:sz w:val="20"/>
                <w:szCs w:val="20"/>
              </w:rPr>
            </w:pPr>
            <w:r w:rsidRPr="008D6B43">
              <w:rPr>
                <w:sz w:val="20"/>
                <w:szCs w:val="20"/>
              </w:rPr>
              <w:t>                       i.      From Programme funds:</w:t>
            </w:r>
          </w:p>
        </w:tc>
        <w:tc>
          <w:tcPr>
            <w:tcW w:w="2535" w:type="dxa"/>
            <w:shd w:val="clear" w:color="auto" w:fill="D9EDF9" w:themeFill="accent1" w:themeFillTint="33"/>
            <w:hideMark/>
          </w:tcPr>
          <w:p w14:paraId="5BA2497B" w14:textId="77777777" w:rsidR="00AE1F89" w:rsidRPr="008D6B43" w:rsidRDefault="00AE1F89" w:rsidP="00D03A56">
            <w:pPr>
              <w:pStyle w:val="BodyText"/>
              <w:spacing w:after="0"/>
              <w:jc w:val="center"/>
              <w:rPr>
                <w:sz w:val="20"/>
                <w:szCs w:val="20"/>
              </w:rPr>
            </w:pPr>
            <w:r w:rsidRPr="008D6B43">
              <w:rPr>
                <w:sz w:val="20"/>
                <w:szCs w:val="20"/>
              </w:rPr>
              <w:t>19,523,286</w:t>
            </w:r>
          </w:p>
        </w:tc>
      </w:tr>
      <w:tr w:rsidR="00AE1F89" w:rsidRPr="008D6B43" w14:paraId="1D90FEED" w14:textId="77777777" w:rsidTr="00D03A56">
        <w:trPr>
          <w:trHeight w:val="310"/>
        </w:trPr>
        <w:tc>
          <w:tcPr>
            <w:tcW w:w="6475" w:type="dxa"/>
            <w:shd w:val="clear" w:color="auto" w:fill="D9EDF9" w:themeFill="accent1" w:themeFillTint="33"/>
            <w:hideMark/>
          </w:tcPr>
          <w:p w14:paraId="5541AB0C" w14:textId="77777777" w:rsidR="00AE1F89" w:rsidRPr="008D6B43" w:rsidRDefault="00AE1F89" w:rsidP="00D03A56">
            <w:pPr>
              <w:pStyle w:val="BodyText"/>
              <w:spacing w:after="0"/>
              <w:jc w:val="left"/>
              <w:rPr>
                <w:sz w:val="20"/>
                <w:szCs w:val="20"/>
              </w:rPr>
            </w:pPr>
            <w:r w:rsidRPr="008D6B43">
              <w:rPr>
                <w:sz w:val="20"/>
                <w:szCs w:val="20"/>
              </w:rPr>
              <w:t>                       ii.      From AKDN Consortium resources:</w:t>
            </w:r>
          </w:p>
        </w:tc>
        <w:tc>
          <w:tcPr>
            <w:tcW w:w="2535" w:type="dxa"/>
            <w:shd w:val="clear" w:color="auto" w:fill="D9EDF9" w:themeFill="accent1" w:themeFillTint="33"/>
            <w:hideMark/>
          </w:tcPr>
          <w:p w14:paraId="534BC9FE" w14:textId="77777777" w:rsidR="00AE1F89" w:rsidRPr="008D6B43" w:rsidRDefault="00AE1F89" w:rsidP="00D03A56">
            <w:pPr>
              <w:pStyle w:val="BodyText"/>
              <w:spacing w:after="0"/>
              <w:jc w:val="center"/>
              <w:rPr>
                <w:sz w:val="20"/>
                <w:szCs w:val="20"/>
              </w:rPr>
            </w:pPr>
            <w:r w:rsidRPr="008D6B43">
              <w:rPr>
                <w:sz w:val="20"/>
                <w:szCs w:val="20"/>
              </w:rPr>
              <w:t>7,529,687</w:t>
            </w:r>
          </w:p>
        </w:tc>
      </w:tr>
      <w:tr w:rsidR="00AE1F89" w:rsidRPr="008D6B43" w14:paraId="4D9DA9F3" w14:textId="77777777" w:rsidTr="00D03A56">
        <w:trPr>
          <w:trHeight w:val="375"/>
        </w:trPr>
        <w:tc>
          <w:tcPr>
            <w:tcW w:w="6475" w:type="dxa"/>
            <w:shd w:val="clear" w:color="auto" w:fill="D9EDF9" w:themeFill="accent1" w:themeFillTint="33"/>
            <w:hideMark/>
          </w:tcPr>
          <w:p w14:paraId="5E9081EB" w14:textId="77777777" w:rsidR="00AE1F89" w:rsidRPr="008D6B43" w:rsidRDefault="00AE1F89" w:rsidP="00D03A56">
            <w:pPr>
              <w:pStyle w:val="BodyText"/>
              <w:spacing w:after="0"/>
              <w:jc w:val="left"/>
              <w:rPr>
                <w:b/>
                <w:bCs/>
                <w:sz w:val="20"/>
                <w:szCs w:val="20"/>
              </w:rPr>
            </w:pPr>
            <w:r w:rsidRPr="008D6B43">
              <w:rPr>
                <w:b/>
                <w:bCs/>
                <w:sz w:val="20"/>
                <w:szCs w:val="20"/>
              </w:rPr>
              <w:t>OD expenditure during reporting period (Jul-Dec 2020):</w:t>
            </w:r>
          </w:p>
        </w:tc>
        <w:tc>
          <w:tcPr>
            <w:tcW w:w="2535" w:type="dxa"/>
            <w:shd w:val="clear" w:color="auto" w:fill="D9EDF9" w:themeFill="accent1" w:themeFillTint="33"/>
            <w:hideMark/>
          </w:tcPr>
          <w:p w14:paraId="68D4FA92" w14:textId="77777777" w:rsidR="00AE1F89" w:rsidRPr="008D6B43" w:rsidRDefault="00AE1F89" w:rsidP="00D03A56">
            <w:pPr>
              <w:pStyle w:val="BodyText"/>
              <w:spacing w:after="0"/>
              <w:jc w:val="center"/>
              <w:rPr>
                <w:b/>
                <w:bCs/>
                <w:sz w:val="20"/>
                <w:szCs w:val="20"/>
              </w:rPr>
            </w:pPr>
            <w:r w:rsidRPr="008D6B43">
              <w:rPr>
                <w:b/>
                <w:bCs/>
                <w:sz w:val="20"/>
                <w:szCs w:val="20"/>
              </w:rPr>
              <w:t>1,205,777</w:t>
            </w:r>
          </w:p>
        </w:tc>
      </w:tr>
      <w:tr w:rsidR="00AE1F89" w:rsidRPr="008D6B43" w14:paraId="196D52AC" w14:textId="77777777" w:rsidTr="00D03A56">
        <w:trPr>
          <w:trHeight w:val="310"/>
        </w:trPr>
        <w:tc>
          <w:tcPr>
            <w:tcW w:w="6475" w:type="dxa"/>
            <w:shd w:val="clear" w:color="auto" w:fill="D9EDF9" w:themeFill="accent1" w:themeFillTint="33"/>
            <w:hideMark/>
          </w:tcPr>
          <w:p w14:paraId="348DB33C" w14:textId="77777777" w:rsidR="00AE1F89" w:rsidRPr="008D6B43" w:rsidRDefault="00AE1F89" w:rsidP="00D03A56">
            <w:pPr>
              <w:pStyle w:val="BodyText"/>
              <w:spacing w:after="0"/>
              <w:jc w:val="left"/>
              <w:rPr>
                <w:b/>
                <w:bCs/>
                <w:sz w:val="20"/>
                <w:szCs w:val="20"/>
              </w:rPr>
            </w:pPr>
            <w:r w:rsidRPr="008D6B43">
              <w:rPr>
                <w:b/>
                <w:bCs/>
                <w:sz w:val="20"/>
                <w:szCs w:val="20"/>
              </w:rPr>
              <w:t>OD funds allocated for next quarter (Jan-Mar 2021:</w:t>
            </w:r>
          </w:p>
        </w:tc>
        <w:tc>
          <w:tcPr>
            <w:tcW w:w="2535" w:type="dxa"/>
            <w:shd w:val="clear" w:color="auto" w:fill="D9EDF9" w:themeFill="accent1" w:themeFillTint="33"/>
            <w:hideMark/>
          </w:tcPr>
          <w:p w14:paraId="3B21C41D" w14:textId="77777777" w:rsidR="00AE1F89" w:rsidRPr="008D6B43" w:rsidRDefault="00AE1F89" w:rsidP="00D03A56">
            <w:pPr>
              <w:pStyle w:val="BodyText"/>
              <w:spacing w:after="0"/>
              <w:jc w:val="center"/>
              <w:rPr>
                <w:b/>
                <w:bCs/>
                <w:sz w:val="20"/>
                <w:szCs w:val="20"/>
              </w:rPr>
            </w:pPr>
            <w:r w:rsidRPr="008D6B43">
              <w:rPr>
                <w:b/>
                <w:bCs/>
                <w:sz w:val="20"/>
                <w:szCs w:val="20"/>
              </w:rPr>
              <w:t>10,000,000</w:t>
            </w:r>
          </w:p>
        </w:tc>
      </w:tr>
    </w:tbl>
    <w:p w14:paraId="2CEDDA05" w14:textId="77777777" w:rsidR="006C5712" w:rsidRPr="003506E5" w:rsidRDefault="006C5712" w:rsidP="0062709B">
      <w:pPr>
        <w:pStyle w:val="BodyText"/>
      </w:pPr>
    </w:p>
    <w:p w14:paraId="56C15369" w14:textId="77777777" w:rsidR="00F713C7" w:rsidRPr="003506E5" w:rsidRDefault="00F713C7" w:rsidP="00F713C7">
      <w:pPr>
        <w:rPr>
          <w:rFonts w:asciiTheme="minorBidi" w:hAnsiTheme="minorBidi"/>
        </w:rPr>
      </w:pPr>
    </w:p>
    <w:p w14:paraId="51A9D87C" w14:textId="068AA3BC" w:rsidR="00AD20D9" w:rsidRPr="003506E5" w:rsidRDefault="00EC35D5" w:rsidP="000A1889">
      <w:pPr>
        <w:pStyle w:val="Heading1"/>
      </w:pPr>
      <w:bookmarkStart w:id="7" w:name="_Toc57215269"/>
      <w:r w:rsidRPr="003506E5">
        <w:lastRenderedPageBreak/>
        <w:t>Developments in Health Insurance P</w:t>
      </w:r>
      <w:r w:rsidR="00AD20D9" w:rsidRPr="003506E5">
        <w:t xml:space="preserve">rogrammes in Pakistan, </w:t>
      </w:r>
      <w:r w:rsidR="00016410" w:rsidRPr="003506E5">
        <w:t>KP</w:t>
      </w:r>
      <w:r w:rsidR="00AD20D9" w:rsidRPr="003506E5">
        <w:t xml:space="preserve"> and </w:t>
      </w:r>
      <w:r w:rsidR="00016410" w:rsidRPr="003506E5">
        <w:t>GB</w:t>
      </w:r>
      <w:bookmarkEnd w:id="7"/>
    </w:p>
    <w:p w14:paraId="7BE2E8C1" w14:textId="1A887E3F" w:rsidR="00540AA9" w:rsidRPr="003506E5" w:rsidRDefault="00540AA9" w:rsidP="00540AA9">
      <w:pPr>
        <w:pStyle w:val="BodyText"/>
      </w:pPr>
      <w:r w:rsidRPr="003506E5">
        <w:t xml:space="preserve">There are at least two government funded health insurance schemes in </w:t>
      </w:r>
      <w:r w:rsidR="00016410" w:rsidRPr="003506E5">
        <w:t>GB</w:t>
      </w:r>
      <w:r w:rsidRPr="003506E5">
        <w:t xml:space="preserve"> and three such schemes in </w:t>
      </w:r>
      <w:r w:rsidR="00016410" w:rsidRPr="003506E5">
        <w:t>KP</w:t>
      </w:r>
      <w:r w:rsidRPr="003506E5">
        <w:t>.</w:t>
      </w:r>
    </w:p>
    <w:p w14:paraId="4B0840E7" w14:textId="59C2D724" w:rsidR="00540AA9" w:rsidRPr="003506E5" w:rsidRDefault="00540AA9" w:rsidP="00540AA9">
      <w:pPr>
        <w:pStyle w:val="BodyText"/>
      </w:pPr>
      <w:r w:rsidRPr="003506E5">
        <w:t xml:space="preserve">Currently four schemes are being implemented in </w:t>
      </w:r>
      <w:r w:rsidR="00016410" w:rsidRPr="003506E5">
        <w:t>KP</w:t>
      </w:r>
      <w:r w:rsidRPr="003506E5">
        <w:t xml:space="preserve">. One is federal scheme (in erstwhile FATA), whereas rest of the three schemes are funded by </w:t>
      </w:r>
      <w:r w:rsidR="00016410" w:rsidRPr="003506E5">
        <w:t>the G</w:t>
      </w:r>
      <w:r w:rsidRPr="003506E5">
        <w:t xml:space="preserve">overnment of </w:t>
      </w:r>
      <w:r w:rsidR="00016410" w:rsidRPr="003506E5">
        <w:t>KP.</w:t>
      </w:r>
    </w:p>
    <w:p w14:paraId="16AEC373" w14:textId="32D88AAF" w:rsidR="00B42C85" w:rsidRPr="003506E5" w:rsidRDefault="00B42C85" w:rsidP="00540AA9">
      <w:pPr>
        <w:pStyle w:val="Heading20"/>
        <w:rPr>
          <w:rFonts w:eastAsiaTheme="majorEastAsia"/>
        </w:rPr>
      </w:pPr>
      <w:bookmarkStart w:id="8" w:name="_Toc57215270"/>
      <w:r w:rsidRPr="003506E5">
        <w:rPr>
          <w:rFonts w:eastAsiaTheme="majorEastAsia"/>
        </w:rPr>
        <w:t xml:space="preserve">Health Insurance Schemes funded by </w:t>
      </w:r>
      <w:r w:rsidR="00016410" w:rsidRPr="003506E5">
        <w:rPr>
          <w:rFonts w:eastAsiaTheme="majorEastAsia"/>
        </w:rPr>
        <w:t>the GoKP</w:t>
      </w:r>
      <w:bookmarkEnd w:id="8"/>
    </w:p>
    <w:p w14:paraId="498CCAF9" w14:textId="5B6EA27E" w:rsidR="00540AA9" w:rsidRPr="003506E5" w:rsidRDefault="00540AA9" w:rsidP="00957469">
      <w:pPr>
        <w:pStyle w:val="Heading3"/>
      </w:pPr>
      <w:bookmarkStart w:id="9" w:name="_Toc57215271"/>
      <w:r w:rsidRPr="003506E5">
        <w:t>Sehat S</w:t>
      </w:r>
      <w:r w:rsidR="00E92C26" w:rsidRPr="003506E5">
        <w:t>a</w:t>
      </w:r>
      <w:r w:rsidRPr="003506E5">
        <w:t>hulat Program</w:t>
      </w:r>
      <w:r w:rsidR="00665B4C" w:rsidRPr="003506E5">
        <w:t>me</w:t>
      </w:r>
      <w:r w:rsidRPr="003506E5">
        <w:t xml:space="preserve"> (</w:t>
      </w:r>
      <w:r w:rsidR="005067B3" w:rsidRPr="003506E5">
        <w:t>f</w:t>
      </w:r>
      <w:r w:rsidRPr="003506E5">
        <w:t>ederal)</w:t>
      </w:r>
      <w:bookmarkEnd w:id="9"/>
    </w:p>
    <w:p w14:paraId="39539523" w14:textId="0853C2DB" w:rsidR="00540AA9" w:rsidRPr="003506E5" w:rsidRDefault="00540AA9" w:rsidP="00540AA9">
      <w:pPr>
        <w:pStyle w:val="BodyText"/>
      </w:pPr>
    </w:p>
    <w:p w14:paraId="042A9FA6" w14:textId="11F1E7F7" w:rsidR="00540AA9" w:rsidRPr="003506E5" w:rsidRDefault="00540AA9" w:rsidP="00957469">
      <w:pPr>
        <w:pStyle w:val="Heading3"/>
      </w:pPr>
      <w:bookmarkStart w:id="10" w:name="_Toc57215272"/>
      <w:r w:rsidRPr="003506E5">
        <w:t>Sehat Sahulat Program</w:t>
      </w:r>
      <w:r w:rsidR="00665B4C" w:rsidRPr="003506E5">
        <w:t>me</w:t>
      </w:r>
      <w:r w:rsidRPr="003506E5">
        <w:t xml:space="preserve"> (</w:t>
      </w:r>
      <w:r w:rsidR="005067B3" w:rsidRPr="003506E5">
        <w:t>GoKP</w:t>
      </w:r>
      <w:r w:rsidR="00E92C26" w:rsidRPr="003506E5">
        <w:t xml:space="preserve"> funded - </w:t>
      </w:r>
      <w:r w:rsidRPr="003506E5">
        <w:t>Phase IV)</w:t>
      </w:r>
      <w:bookmarkEnd w:id="10"/>
    </w:p>
    <w:p w14:paraId="689FB249" w14:textId="12615D37" w:rsidR="00540AA9" w:rsidRPr="003506E5" w:rsidRDefault="00540AA9" w:rsidP="00540AA9">
      <w:pPr>
        <w:pStyle w:val="BodyText"/>
      </w:pPr>
    </w:p>
    <w:p w14:paraId="51877E66" w14:textId="673480FD" w:rsidR="00540AA9" w:rsidRPr="003506E5" w:rsidRDefault="00540AA9" w:rsidP="00957469">
      <w:pPr>
        <w:pStyle w:val="Heading3"/>
      </w:pPr>
      <w:bookmarkStart w:id="11" w:name="_Toc57215273"/>
      <w:r w:rsidRPr="003506E5">
        <w:t>Sehat Sahulat Program</w:t>
      </w:r>
      <w:r w:rsidR="00665B4C" w:rsidRPr="003506E5">
        <w:t>me</w:t>
      </w:r>
      <w:r w:rsidRPr="003506E5">
        <w:t xml:space="preserve"> (100% </w:t>
      </w:r>
      <w:r w:rsidR="005067B3" w:rsidRPr="003506E5">
        <w:t>c</w:t>
      </w:r>
      <w:r w:rsidRPr="003506E5">
        <w:t>overage)</w:t>
      </w:r>
      <w:bookmarkEnd w:id="11"/>
    </w:p>
    <w:p w14:paraId="2BFDF3E8" w14:textId="77777777" w:rsidR="00540AA9" w:rsidRPr="003506E5" w:rsidRDefault="00540AA9" w:rsidP="00540AA9">
      <w:pPr>
        <w:pStyle w:val="BodyText"/>
        <w:rPr>
          <w:sz w:val="24"/>
          <w:szCs w:val="24"/>
        </w:rPr>
      </w:pPr>
    </w:p>
    <w:p w14:paraId="41EE0CA5" w14:textId="77777777" w:rsidR="009E0AC4" w:rsidRPr="003506E5" w:rsidRDefault="009E0AC4">
      <w:pPr>
        <w:spacing w:after="0" w:line="240" w:lineRule="auto"/>
        <w:rPr>
          <w:rFonts w:eastAsiaTheme="majorEastAsia" w:cs="Times New Roman"/>
          <w:b/>
          <w:bCs/>
          <w:color w:val="0B1F51"/>
          <w:kern w:val="32"/>
          <w:sz w:val="28"/>
          <w:szCs w:val="28"/>
        </w:rPr>
      </w:pPr>
      <w:bookmarkStart w:id="12" w:name="_Toc57215274"/>
      <w:r w:rsidRPr="003506E5">
        <w:rPr>
          <w:rFonts w:eastAsiaTheme="majorEastAsia"/>
        </w:rPr>
        <w:br w:type="page"/>
      </w:r>
    </w:p>
    <w:p w14:paraId="4882C49A" w14:textId="681D2A56" w:rsidR="00CD225E" w:rsidRPr="003506E5" w:rsidRDefault="00CD225E" w:rsidP="00CD225E">
      <w:pPr>
        <w:pStyle w:val="Heading20"/>
        <w:rPr>
          <w:rFonts w:eastAsiaTheme="majorEastAsia"/>
        </w:rPr>
      </w:pPr>
      <w:r w:rsidRPr="003506E5">
        <w:rPr>
          <w:rFonts w:eastAsiaTheme="majorEastAsia"/>
        </w:rPr>
        <w:lastRenderedPageBreak/>
        <w:t xml:space="preserve">Health Insurance Schemes funded by the </w:t>
      </w:r>
      <w:r w:rsidR="00016410" w:rsidRPr="003506E5">
        <w:rPr>
          <w:rFonts w:eastAsiaTheme="majorEastAsia"/>
        </w:rPr>
        <w:t>GoGB</w:t>
      </w:r>
      <w:bookmarkEnd w:id="12"/>
    </w:p>
    <w:p w14:paraId="5BBD200F" w14:textId="77777777" w:rsidR="00CD225E" w:rsidRPr="003506E5" w:rsidRDefault="00CD225E" w:rsidP="00957469">
      <w:pPr>
        <w:pStyle w:val="Heading3"/>
      </w:pPr>
      <w:bookmarkStart w:id="13" w:name="_Toc57215275"/>
      <w:r w:rsidRPr="003506E5">
        <w:t>Federal Government funded Sehat Sahulat Programme</w:t>
      </w:r>
      <w:bookmarkEnd w:id="13"/>
      <w:r w:rsidRPr="003506E5">
        <w:t xml:space="preserve"> </w:t>
      </w:r>
    </w:p>
    <w:p w14:paraId="79454BC8" w14:textId="77777777" w:rsidR="002347FC" w:rsidRPr="003506E5" w:rsidRDefault="002347FC" w:rsidP="002347FC">
      <w:pPr>
        <w:pStyle w:val="BodyText"/>
        <w:rPr>
          <w:color w:val="000000" w:themeColor="text1"/>
        </w:rPr>
      </w:pPr>
      <w:r w:rsidRPr="003506E5">
        <w:rPr>
          <w:color w:val="000000" w:themeColor="text1"/>
        </w:rPr>
        <w:t xml:space="preserve">The Federal Government of Pakistan, in 2015, launched a health insurance scheme under the name of “National Health Programme” in 23 districts across four provinces, the Capital Territory of Islamabad, erstwhile Federally Administered Tribal Areas, Azad Jammu and Kashmir </w:t>
      </w:r>
      <w:r w:rsidRPr="003506E5">
        <w:rPr>
          <w:bCs/>
          <w:color w:val="000000" w:themeColor="text1"/>
        </w:rPr>
        <w:t>and Gilgit Baltistan</w:t>
      </w:r>
      <w:r w:rsidRPr="003506E5">
        <w:rPr>
          <w:color w:val="000000" w:themeColor="text1"/>
        </w:rPr>
        <w:t>. This scheme is managed by the Federal Programme Implementation Unit and planned to roll out to all districts of GB. However, upon request of Provincial Government, Gilgit district was excluded where the KfW supported programme is being implemented. By end of December 2020, a total of 70,771 families have been enrolled in this scheme in seven districts of GB against the target of 102,207 families as shown in the following table:</w:t>
      </w:r>
    </w:p>
    <w:p w14:paraId="6E1E9E50" w14:textId="2985A65A" w:rsidR="00F01393" w:rsidRPr="003506E5" w:rsidRDefault="00F01393" w:rsidP="00F01393">
      <w:pPr>
        <w:pStyle w:val="Caption"/>
      </w:pPr>
      <w:r w:rsidRPr="003506E5">
        <w:t xml:space="preserve">Table </w:t>
      </w:r>
      <w:r w:rsidRPr="003506E5">
        <w:fldChar w:fldCharType="begin"/>
      </w:r>
      <w:r w:rsidRPr="003506E5">
        <w:instrText xml:space="preserve"> SEQ Table \* ARABIC </w:instrText>
      </w:r>
      <w:r w:rsidRPr="003506E5">
        <w:fldChar w:fldCharType="separate"/>
      </w:r>
      <w:r w:rsidR="00AE4FA0">
        <w:rPr>
          <w:noProof/>
        </w:rPr>
        <w:t>2</w:t>
      </w:r>
      <w:r w:rsidRPr="003506E5">
        <w:fldChar w:fldCharType="end"/>
      </w:r>
      <w:r w:rsidRPr="003506E5">
        <w:t>: Updated Enrolment Status of Sehat Sahulat Programme in GB</w:t>
      </w:r>
    </w:p>
    <w:tbl>
      <w:tblPr>
        <w:tblStyle w:val="OPMTable2019"/>
        <w:tblW w:w="9062" w:type="dxa"/>
        <w:tblLook w:val="04A0" w:firstRow="1" w:lastRow="0" w:firstColumn="1" w:lastColumn="0" w:noHBand="0" w:noVBand="1"/>
      </w:tblPr>
      <w:tblGrid>
        <w:gridCol w:w="860"/>
        <w:gridCol w:w="2730"/>
        <w:gridCol w:w="2070"/>
        <w:gridCol w:w="1710"/>
        <w:gridCol w:w="1692"/>
      </w:tblGrid>
      <w:tr w:rsidR="002347FC" w:rsidRPr="003506E5" w14:paraId="6CFBA4F1" w14:textId="77777777" w:rsidTr="002F2B5E">
        <w:trPr>
          <w:cnfStyle w:val="100000000000" w:firstRow="1" w:lastRow="0" w:firstColumn="0" w:lastColumn="0" w:oddVBand="0" w:evenVBand="0" w:oddHBand="0"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860" w:type="dxa"/>
            <w:noWrap/>
            <w:hideMark/>
          </w:tcPr>
          <w:p w14:paraId="2F2A270D" w14:textId="77777777" w:rsidR="002347FC" w:rsidRPr="003506E5" w:rsidRDefault="002347FC" w:rsidP="002F2B5E">
            <w:pPr>
              <w:spacing w:after="0" w:line="240" w:lineRule="auto"/>
              <w:rPr>
                <w:rFonts w:asciiTheme="majorHAnsi" w:hAnsiTheme="majorHAnsi" w:cstheme="majorHAnsi"/>
                <w:b w:val="0"/>
                <w:bCs/>
                <w:color w:val="auto"/>
              </w:rPr>
            </w:pPr>
            <w:r w:rsidRPr="003506E5">
              <w:rPr>
                <w:rFonts w:asciiTheme="majorHAnsi" w:hAnsiTheme="majorHAnsi" w:cstheme="majorHAnsi"/>
                <w:bCs/>
                <w:color w:val="auto"/>
              </w:rPr>
              <w:t>S.#</w:t>
            </w:r>
          </w:p>
        </w:tc>
        <w:tc>
          <w:tcPr>
            <w:tcW w:w="2730" w:type="dxa"/>
            <w:noWrap/>
            <w:hideMark/>
          </w:tcPr>
          <w:p w14:paraId="7F28F8C2" w14:textId="77777777" w:rsidR="002347FC" w:rsidRPr="003506E5" w:rsidRDefault="002347FC" w:rsidP="002F2B5E">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color w:val="auto"/>
              </w:rPr>
            </w:pPr>
            <w:r w:rsidRPr="003506E5">
              <w:rPr>
                <w:rFonts w:asciiTheme="majorHAnsi" w:hAnsiTheme="majorHAnsi" w:cstheme="majorHAnsi"/>
                <w:bCs/>
                <w:color w:val="auto"/>
              </w:rPr>
              <w:t>District Name</w:t>
            </w:r>
          </w:p>
        </w:tc>
        <w:tc>
          <w:tcPr>
            <w:tcW w:w="2070" w:type="dxa"/>
            <w:hideMark/>
          </w:tcPr>
          <w:p w14:paraId="61DC1EEA" w14:textId="77777777" w:rsidR="002347FC" w:rsidRPr="003506E5" w:rsidRDefault="002347FC" w:rsidP="002F2B5E">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color w:val="auto"/>
              </w:rPr>
            </w:pPr>
            <w:r w:rsidRPr="003506E5">
              <w:rPr>
                <w:rFonts w:asciiTheme="majorHAnsi" w:hAnsiTheme="majorHAnsi" w:cstheme="majorHAnsi"/>
                <w:bCs/>
                <w:color w:val="auto"/>
              </w:rPr>
              <w:t>Total Eligible Families</w:t>
            </w:r>
          </w:p>
        </w:tc>
        <w:tc>
          <w:tcPr>
            <w:tcW w:w="1710" w:type="dxa"/>
            <w:hideMark/>
          </w:tcPr>
          <w:p w14:paraId="549ADB56" w14:textId="77777777" w:rsidR="002347FC" w:rsidRPr="003506E5" w:rsidRDefault="002347FC" w:rsidP="002F2B5E">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color w:val="auto"/>
              </w:rPr>
            </w:pPr>
            <w:r w:rsidRPr="003506E5">
              <w:rPr>
                <w:rFonts w:asciiTheme="majorHAnsi" w:hAnsiTheme="majorHAnsi" w:cstheme="majorHAnsi"/>
                <w:bCs/>
                <w:color w:val="auto"/>
              </w:rPr>
              <w:t>Total Enrolled Families</w:t>
            </w:r>
          </w:p>
        </w:tc>
        <w:tc>
          <w:tcPr>
            <w:tcW w:w="1692" w:type="dxa"/>
            <w:hideMark/>
          </w:tcPr>
          <w:p w14:paraId="53DD5466" w14:textId="77777777" w:rsidR="002347FC" w:rsidRPr="003506E5" w:rsidRDefault="002347FC" w:rsidP="002F2B5E">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color w:val="auto"/>
              </w:rPr>
            </w:pPr>
            <w:r w:rsidRPr="003506E5">
              <w:rPr>
                <w:rFonts w:asciiTheme="majorHAnsi" w:hAnsiTheme="majorHAnsi" w:cstheme="majorHAnsi"/>
                <w:bCs/>
                <w:color w:val="auto"/>
              </w:rPr>
              <w:t>Total Enrolled Members</w:t>
            </w:r>
          </w:p>
        </w:tc>
      </w:tr>
      <w:tr w:rsidR="002347FC" w:rsidRPr="003506E5" w14:paraId="556AB486" w14:textId="77777777" w:rsidTr="002F2B5E">
        <w:trPr>
          <w:trHeight w:val="300"/>
        </w:trPr>
        <w:tc>
          <w:tcPr>
            <w:cnfStyle w:val="001000000000" w:firstRow="0" w:lastRow="0" w:firstColumn="1" w:lastColumn="0" w:oddVBand="0" w:evenVBand="0" w:oddHBand="0" w:evenHBand="0" w:firstRowFirstColumn="0" w:firstRowLastColumn="0" w:lastRowFirstColumn="0" w:lastRowLastColumn="0"/>
            <w:tcW w:w="860" w:type="dxa"/>
            <w:noWrap/>
          </w:tcPr>
          <w:p w14:paraId="0CF3B43B" w14:textId="77777777" w:rsidR="002347FC" w:rsidRPr="003506E5" w:rsidRDefault="002347FC" w:rsidP="002347FC">
            <w:pPr>
              <w:pStyle w:val="ListParagraph"/>
              <w:numPr>
                <w:ilvl w:val="0"/>
                <w:numId w:val="31"/>
              </w:numPr>
              <w:spacing w:after="0" w:line="240" w:lineRule="auto"/>
              <w:jc w:val="right"/>
              <w:rPr>
                <w:rFonts w:asciiTheme="majorHAnsi" w:hAnsiTheme="majorHAnsi" w:cstheme="majorHAnsi"/>
                <w:b w:val="0"/>
                <w:bCs/>
                <w:color w:val="000000"/>
              </w:rPr>
            </w:pPr>
          </w:p>
        </w:tc>
        <w:tc>
          <w:tcPr>
            <w:tcW w:w="2730" w:type="dxa"/>
            <w:noWrap/>
            <w:hideMark/>
          </w:tcPr>
          <w:p w14:paraId="7C55E684" w14:textId="77777777" w:rsidR="002347FC" w:rsidRPr="003506E5" w:rsidRDefault="002347FC" w:rsidP="002F2B5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3506E5">
              <w:rPr>
                <w:rFonts w:asciiTheme="majorHAnsi" w:hAnsiTheme="majorHAnsi" w:cstheme="majorHAnsi"/>
                <w:color w:val="000000"/>
              </w:rPr>
              <w:t>ASTORE</w:t>
            </w:r>
          </w:p>
        </w:tc>
        <w:tc>
          <w:tcPr>
            <w:tcW w:w="2070" w:type="dxa"/>
            <w:noWrap/>
            <w:hideMark/>
          </w:tcPr>
          <w:p w14:paraId="067940CE" w14:textId="77777777" w:rsidR="002347FC" w:rsidRPr="003506E5" w:rsidRDefault="002347FC" w:rsidP="002F2B5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3506E5">
              <w:rPr>
                <w:rFonts w:asciiTheme="majorHAnsi" w:hAnsiTheme="majorHAnsi" w:cstheme="majorHAnsi"/>
                <w:color w:val="000000"/>
              </w:rPr>
              <w:t>6,660</w:t>
            </w:r>
          </w:p>
        </w:tc>
        <w:tc>
          <w:tcPr>
            <w:tcW w:w="1710" w:type="dxa"/>
            <w:noWrap/>
            <w:hideMark/>
          </w:tcPr>
          <w:p w14:paraId="74B7D335" w14:textId="77777777" w:rsidR="002347FC" w:rsidRPr="003506E5" w:rsidRDefault="002347FC" w:rsidP="002F2B5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3506E5">
              <w:rPr>
                <w:rFonts w:asciiTheme="majorHAnsi" w:hAnsiTheme="majorHAnsi" w:cstheme="majorHAnsi"/>
                <w:color w:val="000000"/>
              </w:rPr>
              <w:t>4,119</w:t>
            </w:r>
          </w:p>
        </w:tc>
        <w:tc>
          <w:tcPr>
            <w:tcW w:w="1692" w:type="dxa"/>
            <w:noWrap/>
            <w:hideMark/>
          </w:tcPr>
          <w:p w14:paraId="4B2E972F" w14:textId="77777777" w:rsidR="002347FC" w:rsidRPr="003506E5" w:rsidRDefault="002347FC" w:rsidP="002F2B5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3506E5">
              <w:rPr>
                <w:rFonts w:asciiTheme="majorHAnsi" w:hAnsiTheme="majorHAnsi" w:cstheme="majorHAnsi"/>
                <w:color w:val="000000"/>
              </w:rPr>
              <w:t>26,074</w:t>
            </w:r>
          </w:p>
        </w:tc>
      </w:tr>
      <w:tr w:rsidR="002347FC" w:rsidRPr="003506E5" w14:paraId="490088B6" w14:textId="77777777" w:rsidTr="002F2B5E">
        <w:trPr>
          <w:trHeight w:val="300"/>
        </w:trPr>
        <w:tc>
          <w:tcPr>
            <w:cnfStyle w:val="001000000000" w:firstRow="0" w:lastRow="0" w:firstColumn="1" w:lastColumn="0" w:oddVBand="0" w:evenVBand="0" w:oddHBand="0" w:evenHBand="0" w:firstRowFirstColumn="0" w:firstRowLastColumn="0" w:lastRowFirstColumn="0" w:lastRowLastColumn="0"/>
            <w:tcW w:w="860" w:type="dxa"/>
            <w:noWrap/>
          </w:tcPr>
          <w:p w14:paraId="799C5956" w14:textId="77777777" w:rsidR="002347FC" w:rsidRPr="003506E5" w:rsidRDefault="002347FC" w:rsidP="002347FC">
            <w:pPr>
              <w:pStyle w:val="ListParagraph"/>
              <w:numPr>
                <w:ilvl w:val="0"/>
                <w:numId w:val="31"/>
              </w:numPr>
              <w:spacing w:after="0" w:line="240" w:lineRule="auto"/>
              <w:jc w:val="right"/>
              <w:rPr>
                <w:rFonts w:asciiTheme="majorHAnsi" w:hAnsiTheme="majorHAnsi" w:cstheme="majorHAnsi"/>
                <w:b w:val="0"/>
                <w:bCs/>
                <w:color w:val="000000"/>
              </w:rPr>
            </w:pPr>
          </w:p>
        </w:tc>
        <w:tc>
          <w:tcPr>
            <w:tcW w:w="2730" w:type="dxa"/>
            <w:noWrap/>
            <w:hideMark/>
          </w:tcPr>
          <w:p w14:paraId="7E1C1E37" w14:textId="77777777" w:rsidR="002347FC" w:rsidRPr="003506E5" w:rsidRDefault="002347FC" w:rsidP="002F2B5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3506E5">
              <w:rPr>
                <w:rFonts w:asciiTheme="majorHAnsi" w:hAnsiTheme="majorHAnsi" w:cstheme="majorHAnsi"/>
                <w:color w:val="000000"/>
              </w:rPr>
              <w:t>BALTISTAN</w:t>
            </w:r>
          </w:p>
        </w:tc>
        <w:tc>
          <w:tcPr>
            <w:tcW w:w="2070" w:type="dxa"/>
            <w:noWrap/>
            <w:hideMark/>
          </w:tcPr>
          <w:p w14:paraId="17C02C6D" w14:textId="77777777" w:rsidR="002347FC" w:rsidRPr="003506E5" w:rsidRDefault="002347FC" w:rsidP="002F2B5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3506E5">
              <w:rPr>
                <w:rFonts w:asciiTheme="majorHAnsi" w:hAnsiTheme="majorHAnsi" w:cstheme="majorHAnsi"/>
                <w:color w:val="000000"/>
              </w:rPr>
              <w:t>32,777</w:t>
            </w:r>
          </w:p>
        </w:tc>
        <w:tc>
          <w:tcPr>
            <w:tcW w:w="1710" w:type="dxa"/>
            <w:noWrap/>
            <w:hideMark/>
          </w:tcPr>
          <w:p w14:paraId="42752298" w14:textId="77777777" w:rsidR="002347FC" w:rsidRPr="003506E5" w:rsidRDefault="002347FC" w:rsidP="002F2B5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3506E5">
              <w:rPr>
                <w:rFonts w:asciiTheme="majorHAnsi" w:hAnsiTheme="majorHAnsi" w:cstheme="majorHAnsi"/>
                <w:color w:val="000000"/>
              </w:rPr>
              <w:t>22,169</w:t>
            </w:r>
          </w:p>
        </w:tc>
        <w:tc>
          <w:tcPr>
            <w:tcW w:w="1692" w:type="dxa"/>
            <w:noWrap/>
            <w:hideMark/>
          </w:tcPr>
          <w:p w14:paraId="22BD089F" w14:textId="77777777" w:rsidR="002347FC" w:rsidRPr="003506E5" w:rsidRDefault="002347FC" w:rsidP="002F2B5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3506E5">
              <w:rPr>
                <w:rFonts w:asciiTheme="majorHAnsi" w:hAnsiTheme="majorHAnsi" w:cstheme="majorHAnsi"/>
                <w:color w:val="000000"/>
              </w:rPr>
              <w:t>95,899</w:t>
            </w:r>
          </w:p>
        </w:tc>
      </w:tr>
      <w:tr w:rsidR="002347FC" w:rsidRPr="003506E5" w14:paraId="057FA9DF" w14:textId="77777777" w:rsidTr="002F2B5E">
        <w:trPr>
          <w:trHeight w:val="300"/>
        </w:trPr>
        <w:tc>
          <w:tcPr>
            <w:cnfStyle w:val="001000000000" w:firstRow="0" w:lastRow="0" w:firstColumn="1" w:lastColumn="0" w:oddVBand="0" w:evenVBand="0" w:oddHBand="0" w:evenHBand="0" w:firstRowFirstColumn="0" w:firstRowLastColumn="0" w:lastRowFirstColumn="0" w:lastRowLastColumn="0"/>
            <w:tcW w:w="860" w:type="dxa"/>
            <w:noWrap/>
          </w:tcPr>
          <w:p w14:paraId="34899CDD" w14:textId="77777777" w:rsidR="002347FC" w:rsidRPr="003506E5" w:rsidRDefault="002347FC" w:rsidP="002347FC">
            <w:pPr>
              <w:pStyle w:val="ListParagraph"/>
              <w:numPr>
                <w:ilvl w:val="0"/>
                <w:numId w:val="31"/>
              </w:numPr>
              <w:spacing w:after="0" w:line="240" w:lineRule="auto"/>
              <w:jc w:val="right"/>
              <w:rPr>
                <w:rFonts w:asciiTheme="majorHAnsi" w:hAnsiTheme="majorHAnsi" w:cstheme="majorHAnsi"/>
                <w:b w:val="0"/>
                <w:bCs/>
                <w:color w:val="000000"/>
              </w:rPr>
            </w:pPr>
          </w:p>
        </w:tc>
        <w:tc>
          <w:tcPr>
            <w:tcW w:w="2730" w:type="dxa"/>
            <w:noWrap/>
            <w:hideMark/>
          </w:tcPr>
          <w:p w14:paraId="1E538F99" w14:textId="77777777" w:rsidR="002347FC" w:rsidRPr="003506E5" w:rsidRDefault="002347FC" w:rsidP="002F2B5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3506E5">
              <w:rPr>
                <w:rFonts w:asciiTheme="majorHAnsi" w:hAnsiTheme="majorHAnsi" w:cstheme="majorHAnsi"/>
                <w:color w:val="000000"/>
              </w:rPr>
              <w:t>DIAMIR</w:t>
            </w:r>
          </w:p>
        </w:tc>
        <w:tc>
          <w:tcPr>
            <w:tcW w:w="2070" w:type="dxa"/>
            <w:noWrap/>
            <w:hideMark/>
          </w:tcPr>
          <w:p w14:paraId="06B894BC" w14:textId="77777777" w:rsidR="002347FC" w:rsidRPr="003506E5" w:rsidRDefault="002347FC" w:rsidP="002F2B5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3506E5">
              <w:rPr>
                <w:rFonts w:asciiTheme="majorHAnsi" w:hAnsiTheme="majorHAnsi" w:cstheme="majorHAnsi"/>
                <w:color w:val="000000"/>
              </w:rPr>
              <w:t>24,697</w:t>
            </w:r>
          </w:p>
        </w:tc>
        <w:tc>
          <w:tcPr>
            <w:tcW w:w="1710" w:type="dxa"/>
            <w:noWrap/>
            <w:hideMark/>
          </w:tcPr>
          <w:p w14:paraId="722EB3F4" w14:textId="77777777" w:rsidR="002347FC" w:rsidRPr="003506E5" w:rsidRDefault="002347FC" w:rsidP="002F2B5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3506E5">
              <w:rPr>
                <w:rFonts w:asciiTheme="majorHAnsi" w:hAnsiTheme="majorHAnsi" w:cstheme="majorHAnsi"/>
                <w:color w:val="000000"/>
              </w:rPr>
              <w:t>17,340</w:t>
            </w:r>
          </w:p>
        </w:tc>
        <w:tc>
          <w:tcPr>
            <w:tcW w:w="1692" w:type="dxa"/>
            <w:noWrap/>
            <w:hideMark/>
          </w:tcPr>
          <w:p w14:paraId="04BA98AC" w14:textId="77777777" w:rsidR="002347FC" w:rsidRPr="003506E5" w:rsidRDefault="002347FC" w:rsidP="002F2B5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3506E5">
              <w:rPr>
                <w:rFonts w:asciiTheme="majorHAnsi" w:hAnsiTheme="majorHAnsi" w:cstheme="majorHAnsi"/>
                <w:color w:val="000000"/>
              </w:rPr>
              <w:t>66,663</w:t>
            </w:r>
          </w:p>
        </w:tc>
      </w:tr>
      <w:tr w:rsidR="002347FC" w:rsidRPr="003506E5" w14:paraId="05F038BE" w14:textId="77777777" w:rsidTr="002F2B5E">
        <w:trPr>
          <w:trHeight w:val="300"/>
        </w:trPr>
        <w:tc>
          <w:tcPr>
            <w:cnfStyle w:val="001000000000" w:firstRow="0" w:lastRow="0" w:firstColumn="1" w:lastColumn="0" w:oddVBand="0" w:evenVBand="0" w:oddHBand="0" w:evenHBand="0" w:firstRowFirstColumn="0" w:firstRowLastColumn="0" w:lastRowFirstColumn="0" w:lastRowLastColumn="0"/>
            <w:tcW w:w="860" w:type="dxa"/>
            <w:noWrap/>
          </w:tcPr>
          <w:p w14:paraId="0DA48A02" w14:textId="77777777" w:rsidR="002347FC" w:rsidRPr="003506E5" w:rsidRDefault="002347FC" w:rsidP="002347FC">
            <w:pPr>
              <w:pStyle w:val="ListParagraph"/>
              <w:numPr>
                <w:ilvl w:val="0"/>
                <w:numId w:val="31"/>
              </w:numPr>
              <w:spacing w:after="0" w:line="240" w:lineRule="auto"/>
              <w:jc w:val="right"/>
              <w:rPr>
                <w:rFonts w:asciiTheme="majorHAnsi" w:hAnsiTheme="majorHAnsi" w:cstheme="majorHAnsi"/>
                <w:b w:val="0"/>
                <w:bCs/>
                <w:color w:val="000000"/>
              </w:rPr>
            </w:pPr>
          </w:p>
        </w:tc>
        <w:tc>
          <w:tcPr>
            <w:tcW w:w="2730" w:type="dxa"/>
            <w:noWrap/>
            <w:hideMark/>
          </w:tcPr>
          <w:p w14:paraId="7C4F38D4" w14:textId="77777777" w:rsidR="002347FC" w:rsidRPr="003506E5" w:rsidRDefault="002347FC" w:rsidP="002F2B5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3506E5">
              <w:rPr>
                <w:rFonts w:asciiTheme="majorHAnsi" w:hAnsiTheme="majorHAnsi" w:cstheme="majorHAnsi"/>
                <w:color w:val="000000"/>
              </w:rPr>
              <w:t>GHANCHE</w:t>
            </w:r>
          </w:p>
        </w:tc>
        <w:tc>
          <w:tcPr>
            <w:tcW w:w="2070" w:type="dxa"/>
            <w:noWrap/>
            <w:hideMark/>
          </w:tcPr>
          <w:p w14:paraId="06440F83" w14:textId="77777777" w:rsidR="002347FC" w:rsidRPr="003506E5" w:rsidRDefault="002347FC" w:rsidP="002F2B5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3506E5">
              <w:rPr>
                <w:rFonts w:asciiTheme="majorHAnsi" w:hAnsiTheme="majorHAnsi" w:cstheme="majorHAnsi"/>
                <w:color w:val="000000"/>
              </w:rPr>
              <w:t>9,168</w:t>
            </w:r>
          </w:p>
        </w:tc>
        <w:tc>
          <w:tcPr>
            <w:tcW w:w="1710" w:type="dxa"/>
            <w:noWrap/>
            <w:hideMark/>
          </w:tcPr>
          <w:p w14:paraId="7C13B6AE" w14:textId="77777777" w:rsidR="002347FC" w:rsidRPr="003506E5" w:rsidRDefault="002347FC" w:rsidP="002F2B5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3506E5">
              <w:rPr>
                <w:rFonts w:asciiTheme="majorHAnsi" w:hAnsiTheme="majorHAnsi" w:cstheme="majorHAnsi"/>
                <w:color w:val="000000"/>
              </w:rPr>
              <w:t>6,958</w:t>
            </w:r>
          </w:p>
        </w:tc>
        <w:tc>
          <w:tcPr>
            <w:tcW w:w="1692" w:type="dxa"/>
            <w:noWrap/>
            <w:hideMark/>
          </w:tcPr>
          <w:p w14:paraId="1B5423DB" w14:textId="77777777" w:rsidR="002347FC" w:rsidRPr="003506E5" w:rsidRDefault="002347FC" w:rsidP="002F2B5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3506E5">
              <w:rPr>
                <w:rFonts w:asciiTheme="majorHAnsi" w:hAnsiTheme="majorHAnsi" w:cstheme="majorHAnsi"/>
                <w:color w:val="000000"/>
              </w:rPr>
              <w:t>32,713</w:t>
            </w:r>
          </w:p>
        </w:tc>
      </w:tr>
      <w:tr w:rsidR="002347FC" w:rsidRPr="003506E5" w14:paraId="29787E88" w14:textId="77777777" w:rsidTr="002F2B5E">
        <w:trPr>
          <w:trHeight w:val="300"/>
        </w:trPr>
        <w:tc>
          <w:tcPr>
            <w:cnfStyle w:val="001000000000" w:firstRow="0" w:lastRow="0" w:firstColumn="1" w:lastColumn="0" w:oddVBand="0" w:evenVBand="0" w:oddHBand="0" w:evenHBand="0" w:firstRowFirstColumn="0" w:firstRowLastColumn="0" w:lastRowFirstColumn="0" w:lastRowLastColumn="0"/>
            <w:tcW w:w="860" w:type="dxa"/>
            <w:noWrap/>
          </w:tcPr>
          <w:p w14:paraId="6BBD7CA1" w14:textId="77777777" w:rsidR="002347FC" w:rsidRPr="003506E5" w:rsidRDefault="002347FC" w:rsidP="002347FC">
            <w:pPr>
              <w:pStyle w:val="ListParagraph"/>
              <w:numPr>
                <w:ilvl w:val="0"/>
                <w:numId w:val="31"/>
              </w:numPr>
              <w:spacing w:after="0" w:line="240" w:lineRule="auto"/>
              <w:jc w:val="right"/>
              <w:rPr>
                <w:rFonts w:asciiTheme="majorHAnsi" w:hAnsiTheme="majorHAnsi" w:cstheme="majorHAnsi"/>
                <w:b w:val="0"/>
                <w:bCs/>
                <w:color w:val="000000"/>
              </w:rPr>
            </w:pPr>
          </w:p>
        </w:tc>
        <w:tc>
          <w:tcPr>
            <w:tcW w:w="2730" w:type="dxa"/>
            <w:noWrap/>
            <w:hideMark/>
          </w:tcPr>
          <w:p w14:paraId="5F6321C0" w14:textId="77777777" w:rsidR="002347FC" w:rsidRPr="003506E5" w:rsidRDefault="002347FC" w:rsidP="002F2B5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3506E5">
              <w:rPr>
                <w:rFonts w:asciiTheme="majorHAnsi" w:hAnsiTheme="majorHAnsi" w:cstheme="majorHAnsi"/>
                <w:color w:val="000000"/>
              </w:rPr>
              <w:t>GHIZER</w:t>
            </w:r>
          </w:p>
        </w:tc>
        <w:tc>
          <w:tcPr>
            <w:tcW w:w="2070" w:type="dxa"/>
            <w:noWrap/>
            <w:hideMark/>
          </w:tcPr>
          <w:p w14:paraId="7912A6ED" w14:textId="77777777" w:rsidR="002347FC" w:rsidRPr="003506E5" w:rsidRDefault="002347FC" w:rsidP="002F2B5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3506E5">
              <w:rPr>
                <w:rFonts w:asciiTheme="majorHAnsi" w:hAnsiTheme="majorHAnsi" w:cstheme="majorHAnsi"/>
                <w:color w:val="000000"/>
              </w:rPr>
              <w:t>15,935</w:t>
            </w:r>
          </w:p>
        </w:tc>
        <w:tc>
          <w:tcPr>
            <w:tcW w:w="1710" w:type="dxa"/>
            <w:noWrap/>
            <w:hideMark/>
          </w:tcPr>
          <w:p w14:paraId="5B9ACCAE" w14:textId="77777777" w:rsidR="002347FC" w:rsidRPr="003506E5" w:rsidRDefault="002347FC" w:rsidP="002F2B5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3506E5">
              <w:rPr>
                <w:rFonts w:asciiTheme="majorHAnsi" w:hAnsiTheme="majorHAnsi" w:cstheme="majorHAnsi"/>
                <w:color w:val="000000"/>
              </w:rPr>
              <w:t>11,065</w:t>
            </w:r>
          </w:p>
        </w:tc>
        <w:tc>
          <w:tcPr>
            <w:tcW w:w="1692" w:type="dxa"/>
            <w:noWrap/>
            <w:hideMark/>
          </w:tcPr>
          <w:p w14:paraId="5CAB0F58" w14:textId="77777777" w:rsidR="002347FC" w:rsidRPr="003506E5" w:rsidRDefault="002347FC" w:rsidP="002F2B5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3506E5">
              <w:rPr>
                <w:rFonts w:asciiTheme="majorHAnsi" w:hAnsiTheme="majorHAnsi" w:cstheme="majorHAnsi"/>
                <w:color w:val="000000"/>
              </w:rPr>
              <w:t>57,891</w:t>
            </w:r>
          </w:p>
        </w:tc>
      </w:tr>
      <w:tr w:rsidR="002347FC" w:rsidRPr="003506E5" w14:paraId="66AE160D" w14:textId="77777777" w:rsidTr="002F2B5E">
        <w:trPr>
          <w:trHeight w:val="300"/>
        </w:trPr>
        <w:tc>
          <w:tcPr>
            <w:cnfStyle w:val="001000000000" w:firstRow="0" w:lastRow="0" w:firstColumn="1" w:lastColumn="0" w:oddVBand="0" w:evenVBand="0" w:oddHBand="0" w:evenHBand="0" w:firstRowFirstColumn="0" w:firstRowLastColumn="0" w:lastRowFirstColumn="0" w:lastRowLastColumn="0"/>
            <w:tcW w:w="860" w:type="dxa"/>
            <w:noWrap/>
          </w:tcPr>
          <w:p w14:paraId="0E9AFFE6" w14:textId="77777777" w:rsidR="002347FC" w:rsidRPr="003506E5" w:rsidRDefault="002347FC" w:rsidP="002347FC">
            <w:pPr>
              <w:pStyle w:val="ListParagraph"/>
              <w:numPr>
                <w:ilvl w:val="0"/>
                <w:numId w:val="31"/>
              </w:numPr>
              <w:spacing w:after="0" w:line="240" w:lineRule="auto"/>
              <w:jc w:val="right"/>
              <w:rPr>
                <w:rFonts w:asciiTheme="majorHAnsi" w:hAnsiTheme="majorHAnsi" w:cstheme="majorHAnsi"/>
                <w:b w:val="0"/>
                <w:bCs/>
                <w:color w:val="000000"/>
              </w:rPr>
            </w:pPr>
          </w:p>
        </w:tc>
        <w:tc>
          <w:tcPr>
            <w:tcW w:w="2730" w:type="dxa"/>
            <w:noWrap/>
            <w:hideMark/>
          </w:tcPr>
          <w:p w14:paraId="6B57E1E2" w14:textId="77777777" w:rsidR="002347FC" w:rsidRPr="003506E5" w:rsidRDefault="002347FC" w:rsidP="002F2B5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3506E5">
              <w:rPr>
                <w:rFonts w:asciiTheme="majorHAnsi" w:hAnsiTheme="majorHAnsi" w:cstheme="majorHAnsi"/>
                <w:color w:val="000000"/>
              </w:rPr>
              <w:t>GILGIT</w:t>
            </w:r>
          </w:p>
        </w:tc>
        <w:tc>
          <w:tcPr>
            <w:tcW w:w="2070" w:type="dxa"/>
            <w:noWrap/>
            <w:hideMark/>
          </w:tcPr>
          <w:p w14:paraId="2581984F" w14:textId="77777777" w:rsidR="002347FC" w:rsidRPr="003506E5" w:rsidRDefault="002347FC" w:rsidP="002F2B5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3506E5">
              <w:rPr>
                <w:rFonts w:asciiTheme="majorHAnsi" w:hAnsiTheme="majorHAnsi" w:cstheme="majorHAnsi"/>
                <w:color w:val="000000"/>
              </w:rPr>
              <w:t>649</w:t>
            </w:r>
          </w:p>
        </w:tc>
        <w:tc>
          <w:tcPr>
            <w:tcW w:w="1710" w:type="dxa"/>
            <w:noWrap/>
            <w:hideMark/>
          </w:tcPr>
          <w:p w14:paraId="77BCD641" w14:textId="77777777" w:rsidR="002347FC" w:rsidRPr="003506E5" w:rsidRDefault="002347FC" w:rsidP="002F2B5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3506E5">
              <w:rPr>
                <w:rFonts w:asciiTheme="majorHAnsi" w:hAnsiTheme="majorHAnsi" w:cstheme="majorHAnsi"/>
                <w:color w:val="000000"/>
              </w:rPr>
              <w:t>93</w:t>
            </w:r>
          </w:p>
        </w:tc>
        <w:tc>
          <w:tcPr>
            <w:tcW w:w="1692" w:type="dxa"/>
            <w:noWrap/>
            <w:hideMark/>
          </w:tcPr>
          <w:p w14:paraId="2274675D" w14:textId="77777777" w:rsidR="002347FC" w:rsidRPr="003506E5" w:rsidRDefault="002347FC" w:rsidP="002F2B5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3506E5">
              <w:rPr>
                <w:rFonts w:asciiTheme="majorHAnsi" w:hAnsiTheme="majorHAnsi" w:cstheme="majorHAnsi"/>
                <w:color w:val="000000"/>
              </w:rPr>
              <w:t>382</w:t>
            </w:r>
          </w:p>
        </w:tc>
      </w:tr>
      <w:tr w:rsidR="002347FC" w:rsidRPr="003506E5" w14:paraId="6BA5ECDA" w14:textId="77777777" w:rsidTr="002F2B5E">
        <w:trPr>
          <w:trHeight w:val="300"/>
        </w:trPr>
        <w:tc>
          <w:tcPr>
            <w:cnfStyle w:val="001000000000" w:firstRow="0" w:lastRow="0" w:firstColumn="1" w:lastColumn="0" w:oddVBand="0" w:evenVBand="0" w:oddHBand="0" w:evenHBand="0" w:firstRowFirstColumn="0" w:firstRowLastColumn="0" w:lastRowFirstColumn="0" w:lastRowLastColumn="0"/>
            <w:tcW w:w="860" w:type="dxa"/>
            <w:noWrap/>
          </w:tcPr>
          <w:p w14:paraId="3F90E490" w14:textId="77777777" w:rsidR="002347FC" w:rsidRPr="003506E5" w:rsidRDefault="002347FC" w:rsidP="002347FC">
            <w:pPr>
              <w:pStyle w:val="ListParagraph"/>
              <w:numPr>
                <w:ilvl w:val="0"/>
                <w:numId w:val="31"/>
              </w:numPr>
              <w:spacing w:after="0" w:line="240" w:lineRule="auto"/>
              <w:jc w:val="right"/>
              <w:rPr>
                <w:rFonts w:asciiTheme="majorHAnsi" w:hAnsiTheme="majorHAnsi" w:cstheme="majorHAnsi"/>
                <w:b w:val="0"/>
                <w:bCs/>
                <w:color w:val="000000"/>
              </w:rPr>
            </w:pPr>
          </w:p>
        </w:tc>
        <w:tc>
          <w:tcPr>
            <w:tcW w:w="2730" w:type="dxa"/>
            <w:noWrap/>
            <w:hideMark/>
          </w:tcPr>
          <w:p w14:paraId="349D3B1C" w14:textId="77777777" w:rsidR="002347FC" w:rsidRPr="003506E5" w:rsidRDefault="002347FC" w:rsidP="002F2B5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3506E5">
              <w:rPr>
                <w:rFonts w:asciiTheme="majorHAnsi" w:hAnsiTheme="majorHAnsi" w:cstheme="majorHAnsi"/>
                <w:color w:val="000000"/>
              </w:rPr>
              <w:t>HUNZA NAGAR</w:t>
            </w:r>
          </w:p>
        </w:tc>
        <w:tc>
          <w:tcPr>
            <w:tcW w:w="2070" w:type="dxa"/>
            <w:noWrap/>
            <w:hideMark/>
          </w:tcPr>
          <w:p w14:paraId="0EF17000" w14:textId="77777777" w:rsidR="002347FC" w:rsidRPr="003506E5" w:rsidRDefault="002347FC" w:rsidP="002F2B5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3506E5">
              <w:rPr>
                <w:rFonts w:asciiTheme="majorHAnsi" w:hAnsiTheme="majorHAnsi" w:cstheme="majorHAnsi"/>
                <w:color w:val="000000"/>
              </w:rPr>
              <w:t>12,321</w:t>
            </w:r>
          </w:p>
        </w:tc>
        <w:tc>
          <w:tcPr>
            <w:tcW w:w="1710" w:type="dxa"/>
            <w:noWrap/>
            <w:hideMark/>
          </w:tcPr>
          <w:p w14:paraId="5F6266C5" w14:textId="77777777" w:rsidR="002347FC" w:rsidRPr="003506E5" w:rsidRDefault="002347FC" w:rsidP="002F2B5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3506E5">
              <w:rPr>
                <w:rFonts w:asciiTheme="majorHAnsi" w:hAnsiTheme="majorHAnsi" w:cstheme="majorHAnsi"/>
                <w:color w:val="000000"/>
              </w:rPr>
              <w:t>9,027</w:t>
            </w:r>
          </w:p>
        </w:tc>
        <w:tc>
          <w:tcPr>
            <w:tcW w:w="1692" w:type="dxa"/>
            <w:noWrap/>
            <w:hideMark/>
          </w:tcPr>
          <w:p w14:paraId="5D0D8B4D" w14:textId="77777777" w:rsidR="002347FC" w:rsidRPr="003506E5" w:rsidRDefault="002347FC" w:rsidP="002F2B5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3506E5">
              <w:rPr>
                <w:rFonts w:asciiTheme="majorHAnsi" w:hAnsiTheme="majorHAnsi" w:cstheme="majorHAnsi"/>
                <w:color w:val="000000"/>
              </w:rPr>
              <w:t>45,533</w:t>
            </w:r>
          </w:p>
        </w:tc>
      </w:tr>
      <w:tr w:rsidR="002347FC" w:rsidRPr="003506E5" w14:paraId="7A3EA333" w14:textId="77777777" w:rsidTr="002F2B5E">
        <w:trPr>
          <w:trHeight w:val="300"/>
        </w:trPr>
        <w:tc>
          <w:tcPr>
            <w:cnfStyle w:val="001000000000" w:firstRow="0" w:lastRow="0" w:firstColumn="1" w:lastColumn="0" w:oddVBand="0" w:evenVBand="0" w:oddHBand="0" w:evenHBand="0" w:firstRowFirstColumn="0" w:firstRowLastColumn="0" w:lastRowFirstColumn="0" w:lastRowLastColumn="0"/>
            <w:tcW w:w="860" w:type="dxa"/>
            <w:noWrap/>
            <w:hideMark/>
          </w:tcPr>
          <w:p w14:paraId="577C45E7" w14:textId="77777777" w:rsidR="002347FC" w:rsidRPr="003506E5" w:rsidRDefault="002347FC" w:rsidP="002F2B5E">
            <w:pPr>
              <w:spacing w:after="0" w:line="240" w:lineRule="auto"/>
              <w:rPr>
                <w:rFonts w:asciiTheme="majorHAnsi" w:hAnsiTheme="majorHAnsi" w:cstheme="majorHAnsi"/>
                <w:color w:val="000000"/>
              </w:rPr>
            </w:pPr>
            <w:r w:rsidRPr="003506E5">
              <w:rPr>
                <w:rFonts w:asciiTheme="majorHAnsi" w:hAnsiTheme="majorHAnsi" w:cstheme="majorHAnsi"/>
                <w:color w:val="000000"/>
              </w:rPr>
              <w:t> </w:t>
            </w:r>
          </w:p>
        </w:tc>
        <w:tc>
          <w:tcPr>
            <w:tcW w:w="2730" w:type="dxa"/>
            <w:noWrap/>
            <w:hideMark/>
          </w:tcPr>
          <w:p w14:paraId="55929F89" w14:textId="77777777" w:rsidR="002347FC" w:rsidRPr="003506E5" w:rsidRDefault="002347FC" w:rsidP="002F2B5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rPr>
            </w:pPr>
            <w:r w:rsidRPr="003506E5">
              <w:rPr>
                <w:rFonts w:asciiTheme="majorHAnsi" w:hAnsiTheme="majorHAnsi" w:cstheme="majorHAnsi"/>
                <w:b/>
                <w:bCs/>
                <w:color w:val="000000"/>
              </w:rPr>
              <w:t>TOTAL</w:t>
            </w:r>
          </w:p>
        </w:tc>
        <w:tc>
          <w:tcPr>
            <w:tcW w:w="2070" w:type="dxa"/>
            <w:noWrap/>
            <w:hideMark/>
          </w:tcPr>
          <w:p w14:paraId="74FF24D5" w14:textId="77777777" w:rsidR="002347FC" w:rsidRPr="003506E5" w:rsidRDefault="002347FC" w:rsidP="002F2B5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rPr>
            </w:pPr>
            <w:r w:rsidRPr="003506E5">
              <w:rPr>
                <w:rFonts w:asciiTheme="majorHAnsi" w:hAnsiTheme="majorHAnsi" w:cstheme="majorHAnsi"/>
                <w:b/>
                <w:bCs/>
                <w:color w:val="000000"/>
              </w:rPr>
              <w:fldChar w:fldCharType="begin"/>
            </w:r>
            <w:r w:rsidRPr="003506E5">
              <w:rPr>
                <w:rFonts w:asciiTheme="majorHAnsi" w:hAnsiTheme="majorHAnsi" w:cstheme="majorHAnsi"/>
                <w:b/>
                <w:bCs/>
                <w:color w:val="000000"/>
              </w:rPr>
              <w:instrText xml:space="preserve"> =SUM(ABOVE) </w:instrText>
            </w:r>
            <w:r w:rsidRPr="003506E5">
              <w:rPr>
                <w:rFonts w:asciiTheme="majorHAnsi" w:hAnsiTheme="majorHAnsi" w:cstheme="majorHAnsi"/>
                <w:b/>
                <w:bCs/>
                <w:color w:val="000000"/>
              </w:rPr>
              <w:fldChar w:fldCharType="separate"/>
            </w:r>
            <w:r w:rsidRPr="003506E5">
              <w:rPr>
                <w:rFonts w:asciiTheme="majorHAnsi" w:hAnsiTheme="majorHAnsi" w:cstheme="majorHAnsi"/>
                <w:b/>
                <w:bCs/>
                <w:noProof/>
                <w:color w:val="000000"/>
              </w:rPr>
              <w:t>102,207</w:t>
            </w:r>
            <w:r w:rsidRPr="003506E5">
              <w:rPr>
                <w:rFonts w:asciiTheme="majorHAnsi" w:hAnsiTheme="majorHAnsi" w:cstheme="majorHAnsi"/>
                <w:b/>
                <w:bCs/>
                <w:color w:val="000000"/>
              </w:rPr>
              <w:fldChar w:fldCharType="end"/>
            </w:r>
          </w:p>
        </w:tc>
        <w:tc>
          <w:tcPr>
            <w:tcW w:w="1710" w:type="dxa"/>
            <w:noWrap/>
            <w:hideMark/>
          </w:tcPr>
          <w:p w14:paraId="7B34E5F4" w14:textId="77777777" w:rsidR="002347FC" w:rsidRPr="003506E5" w:rsidRDefault="002347FC" w:rsidP="002F2B5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rPr>
            </w:pPr>
            <w:r w:rsidRPr="003506E5">
              <w:rPr>
                <w:rFonts w:asciiTheme="majorHAnsi" w:hAnsiTheme="majorHAnsi" w:cstheme="majorHAnsi"/>
                <w:b/>
                <w:bCs/>
                <w:color w:val="000000"/>
              </w:rPr>
              <w:fldChar w:fldCharType="begin"/>
            </w:r>
            <w:r w:rsidRPr="003506E5">
              <w:rPr>
                <w:rFonts w:asciiTheme="majorHAnsi" w:hAnsiTheme="majorHAnsi" w:cstheme="majorHAnsi"/>
                <w:b/>
                <w:bCs/>
                <w:color w:val="000000"/>
              </w:rPr>
              <w:instrText xml:space="preserve"> =SUM(ABOVE) </w:instrText>
            </w:r>
            <w:r w:rsidRPr="003506E5">
              <w:rPr>
                <w:rFonts w:asciiTheme="majorHAnsi" w:hAnsiTheme="majorHAnsi" w:cstheme="majorHAnsi"/>
                <w:b/>
                <w:bCs/>
                <w:color w:val="000000"/>
              </w:rPr>
              <w:fldChar w:fldCharType="separate"/>
            </w:r>
            <w:r w:rsidRPr="003506E5">
              <w:rPr>
                <w:rFonts w:asciiTheme="majorHAnsi" w:hAnsiTheme="majorHAnsi" w:cstheme="majorHAnsi"/>
                <w:b/>
                <w:bCs/>
                <w:noProof/>
                <w:color w:val="000000"/>
              </w:rPr>
              <w:t>70,771</w:t>
            </w:r>
            <w:r w:rsidRPr="003506E5">
              <w:rPr>
                <w:rFonts w:asciiTheme="majorHAnsi" w:hAnsiTheme="majorHAnsi" w:cstheme="majorHAnsi"/>
                <w:b/>
                <w:bCs/>
                <w:color w:val="000000"/>
              </w:rPr>
              <w:fldChar w:fldCharType="end"/>
            </w:r>
          </w:p>
        </w:tc>
        <w:tc>
          <w:tcPr>
            <w:tcW w:w="1692" w:type="dxa"/>
            <w:noWrap/>
            <w:hideMark/>
          </w:tcPr>
          <w:p w14:paraId="3766B51B" w14:textId="77777777" w:rsidR="002347FC" w:rsidRPr="003506E5" w:rsidRDefault="002347FC" w:rsidP="002F2B5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rPr>
            </w:pPr>
            <w:r w:rsidRPr="003506E5">
              <w:rPr>
                <w:rFonts w:asciiTheme="majorHAnsi" w:hAnsiTheme="majorHAnsi" w:cstheme="majorHAnsi"/>
                <w:b/>
                <w:bCs/>
                <w:color w:val="000000"/>
              </w:rPr>
              <w:fldChar w:fldCharType="begin"/>
            </w:r>
            <w:r w:rsidRPr="003506E5">
              <w:rPr>
                <w:rFonts w:asciiTheme="majorHAnsi" w:hAnsiTheme="majorHAnsi" w:cstheme="majorHAnsi"/>
                <w:b/>
                <w:bCs/>
                <w:color w:val="000000"/>
              </w:rPr>
              <w:instrText xml:space="preserve"> =SUM(ABOVE) </w:instrText>
            </w:r>
            <w:r w:rsidRPr="003506E5">
              <w:rPr>
                <w:rFonts w:asciiTheme="majorHAnsi" w:hAnsiTheme="majorHAnsi" w:cstheme="majorHAnsi"/>
                <w:b/>
                <w:bCs/>
                <w:color w:val="000000"/>
              </w:rPr>
              <w:fldChar w:fldCharType="separate"/>
            </w:r>
            <w:r w:rsidRPr="003506E5">
              <w:rPr>
                <w:rFonts w:asciiTheme="majorHAnsi" w:hAnsiTheme="majorHAnsi" w:cstheme="majorHAnsi"/>
                <w:b/>
                <w:bCs/>
                <w:noProof/>
                <w:color w:val="000000"/>
              </w:rPr>
              <w:t>325,155</w:t>
            </w:r>
            <w:r w:rsidRPr="003506E5">
              <w:rPr>
                <w:rFonts w:asciiTheme="majorHAnsi" w:hAnsiTheme="majorHAnsi" w:cstheme="majorHAnsi"/>
                <w:b/>
                <w:bCs/>
                <w:color w:val="000000"/>
              </w:rPr>
              <w:fldChar w:fldCharType="end"/>
            </w:r>
          </w:p>
        </w:tc>
      </w:tr>
    </w:tbl>
    <w:p w14:paraId="5007C5ED" w14:textId="3122878E" w:rsidR="002347FC" w:rsidRPr="003506E5" w:rsidRDefault="002347FC" w:rsidP="002347FC">
      <w:pPr>
        <w:pStyle w:val="BodyText"/>
        <w:rPr>
          <w:rFonts w:asciiTheme="majorHAnsi" w:hAnsiTheme="majorHAnsi" w:cstheme="majorHAnsi"/>
          <w:highlight w:val="green"/>
        </w:rPr>
      </w:pPr>
    </w:p>
    <w:p w14:paraId="14B72276" w14:textId="122B2E08" w:rsidR="002347FC" w:rsidRPr="003506E5" w:rsidRDefault="00F01393" w:rsidP="00F01393">
      <w:pPr>
        <w:pStyle w:val="BodyText"/>
        <w:rPr>
          <w:rFonts w:asciiTheme="majorHAnsi" w:hAnsiTheme="majorHAnsi" w:cstheme="majorHAnsi"/>
        </w:rPr>
      </w:pPr>
      <w:r w:rsidRPr="003506E5">
        <w:rPr>
          <w:rFonts w:asciiTheme="majorHAnsi" w:hAnsiTheme="majorHAnsi" w:cstheme="majorHAnsi"/>
        </w:rPr>
        <w:t>The updated status of utilisation of services under this scheme is given in the table below:</w:t>
      </w:r>
    </w:p>
    <w:p w14:paraId="34349154" w14:textId="4A7515DA" w:rsidR="00F01393" w:rsidRPr="003506E5" w:rsidRDefault="00F01393" w:rsidP="00F01393">
      <w:pPr>
        <w:pStyle w:val="Caption"/>
      </w:pPr>
      <w:r w:rsidRPr="003506E5">
        <w:t xml:space="preserve">Table </w:t>
      </w:r>
      <w:r w:rsidRPr="003506E5">
        <w:fldChar w:fldCharType="begin"/>
      </w:r>
      <w:r w:rsidRPr="003506E5">
        <w:instrText xml:space="preserve"> SEQ Table \* ARABIC </w:instrText>
      </w:r>
      <w:r w:rsidRPr="003506E5">
        <w:fldChar w:fldCharType="separate"/>
      </w:r>
      <w:r w:rsidR="00AE4FA0">
        <w:rPr>
          <w:noProof/>
        </w:rPr>
        <w:t>3</w:t>
      </w:r>
      <w:r w:rsidRPr="003506E5">
        <w:fldChar w:fldCharType="end"/>
      </w:r>
      <w:r w:rsidRPr="003506E5">
        <w:t>: Updated Utilisation of Services under Sehat Sahulat Programme</w:t>
      </w:r>
    </w:p>
    <w:tbl>
      <w:tblPr>
        <w:tblStyle w:val="OPMTable2019"/>
        <w:tblW w:w="9067" w:type="dxa"/>
        <w:tblLook w:val="04A0" w:firstRow="1" w:lastRow="0" w:firstColumn="1" w:lastColumn="0" w:noHBand="0" w:noVBand="1"/>
      </w:tblPr>
      <w:tblGrid>
        <w:gridCol w:w="846"/>
        <w:gridCol w:w="3685"/>
        <w:gridCol w:w="1669"/>
        <w:gridCol w:w="1380"/>
        <w:gridCol w:w="1487"/>
      </w:tblGrid>
      <w:tr w:rsidR="002347FC" w:rsidRPr="003506E5" w14:paraId="22B000A3" w14:textId="77777777" w:rsidTr="002F2B5E">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46" w:type="dxa"/>
            <w:noWrap/>
            <w:hideMark/>
          </w:tcPr>
          <w:p w14:paraId="5540EC3D" w14:textId="77777777" w:rsidR="002347FC" w:rsidRPr="003506E5" w:rsidRDefault="002347FC" w:rsidP="002F2B5E">
            <w:pPr>
              <w:spacing w:after="0" w:line="240" w:lineRule="auto"/>
              <w:rPr>
                <w:rFonts w:asciiTheme="majorHAnsi" w:hAnsiTheme="majorHAnsi" w:cstheme="majorHAnsi"/>
                <w:color w:val="auto"/>
                <w:sz w:val="20"/>
                <w:szCs w:val="20"/>
              </w:rPr>
            </w:pPr>
            <w:r w:rsidRPr="003506E5">
              <w:rPr>
                <w:rFonts w:asciiTheme="majorHAnsi" w:hAnsiTheme="majorHAnsi" w:cstheme="majorHAnsi"/>
                <w:color w:val="auto"/>
                <w:sz w:val="20"/>
                <w:szCs w:val="20"/>
              </w:rPr>
              <w:t>S.#</w:t>
            </w:r>
          </w:p>
        </w:tc>
        <w:tc>
          <w:tcPr>
            <w:tcW w:w="3685" w:type="dxa"/>
            <w:noWrap/>
            <w:hideMark/>
          </w:tcPr>
          <w:p w14:paraId="36B3C384" w14:textId="77777777" w:rsidR="002347FC" w:rsidRPr="003506E5" w:rsidRDefault="002347FC" w:rsidP="002F2B5E">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0"/>
              </w:rPr>
            </w:pPr>
            <w:r w:rsidRPr="003506E5">
              <w:rPr>
                <w:rFonts w:asciiTheme="majorHAnsi" w:hAnsiTheme="majorHAnsi" w:cstheme="majorHAnsi"/>
                <w:color w:val="auto"/>
                <w:sz w:val="20"/>
                <w:szCs w:val="20"/>
              </w:rPr>
              <w:t>Hospital Name</w:t>
            </w:r>
          </w:p>
        </w:tc>
        <w:tc>
          <w:tcPr>
            <w:tcW w:w="1669" w:type="dxa"/>
            <w:noWrap/>
            <w:hideMark/>
          </w:tcPr>
          <w:p w14:paraId="29607340" w14:textId="77777777" w:rsidR="002347FC" w:rsidRPr="003506E5" w:rsidRDefault="002347FC" w:rsidP="002F2B5E">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0"/>
              </w:rPr>
            </w:pPr>
            <w:r w:rsidRPr="003506E5">
              <w:rPr>
                <w:rFonts w:asciiTheme="majorHAnsi" w:hAnsiTheme="majorHAnsi" w:cstheme="majorHAnsi"/>
                <w:color w:val="auto"/>
                <w:sz w:val="20"/>
                <w:szCs w:val="20"/>
              </w:rPr>
              <w:t>District</w:t>
            </w:r>
          </w:p>
        </w:tc>
        <w:tc>
          <w:tcPr>
            <w:tcW w:w="1380" w:type="dxa"/>
            <w:noWrap/>
            <w:hideMark/>
          </w:tcPr>
          <w:p w14:paraId="74321EFC" w14:textId="77777777" w:rsidR="002347FC" w:rsidRPr="003506E5" w:rsidRDefault="002347FC" w:rsidP="002F2B5E">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0"/>
              </w:rPr>
            </w:pPr>
            <w:r w:rsidRPr="003506E5">
              <w:rPr>
                <w:rFonts w:asciiTheme="majorHAnsi" w:hAnsiTheme="majorHAnsi" w:cstheme="majorHAnsi"/>
                <w:color w:val="auto"/>
                <w:sz w:val="20"/>
                <w:szCs w:val="20"/>
              </w:rPr>
              <w:t>Total Patients</w:t>
            </w:r>
          </w:p>
        </w:tc>
        <w:tc>
          <w:tcPr>
            <w:tcW w:w="1487" w:type="dxa"/>
            <w:noWrap/>
            <w:hideMark/>
          </w:tcPr>
          <w:p w14:paraId="41DBA75A" w14:textId="77777777" w:rsidR="002347FC" w:rsidRPr="003506E5" w:rsidRDefault="002347FC" w:rsidP="002F2B5E">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0"/>
              </w:rPr>
            </w:pPr>
            <w:r w:rsidRPr="003506E5">
              <w:rPr>
                <w:rFonts w:asciiTheme="majorHAnsi" w:hAnsiTheme="majorHAnsi" w:cstheme="majorHAnsi"/>
                <w:color w:val="auto"/>
                <w:sz w:val="20"/>
                <w:szCs w:val="20"/>
              </w:rPr>
              <w:t>Discharged Patients</w:t>
            </w:r>
          </w:p>
        </w:tc>
      </w:tr>
      <w:tr w:rsidR="002347FC" w:rsidRPr="003506E5" w14:paraId="43767CC5" w14:textId="77777777" w:rsidTr="002F2B5E">
        <w:trPr>
          <w:trHeight w:val="300"/>
        </w:trPr>
        <w:tc>
          <w:tcPr>
            <w:cnfStyle w:val="001000000000" w:firstRow="0" w:lastRow="0" w:firstColumn="1" w:lastColumn="0" w:oddVBand="0" w:evenVBand="0" w:oddHBand="0" w:evenHBand="0" w:firstRowFirstColumn="0" w:firstRowLastColumn="0" w:lastRowFirstColumn="0" w:lastRowLastColumn="0"/>
            <w:tcW w:w="846" w:type="dxa"/>
            <w:noWrap/>
          </w:tcPr>
          <w:p w14:paraId="551537FE" w14:textId="77777777" w:rsidR="002347FC" w:rsidRPr="003506E5" w:rsidRDefault="002347FC" w:rsidP="002347FC">
            <w:pPr>
              <w:pStyle w:val="ListParagraph"/>
              <w:numPr>
                <w:ilvl w:val="0"/>
                <w:numId w:val="32"/>
              </w:numPr>
              <w:spacing w:after="0" w:line="240" w:lineRule="auto"/>
              <w:jc w:val="right"/>
              <w:rPr>
                <w:rFonts w:asciiTheme="majorHAnsi" w:hAnsiTheme="majorHAnsi" w:cstheme="majorHAnsi"/>
                <w:b w:val="0"/>
                <w:bCs/>
                <w:color w:val="000000"/>
                <w:sz w:val="20"/>
                <w:szCs w:val="20"/>
              </w:rPr>
            </w:pPr>
          </w:p>
        </w:tc>
        <w:tc>
          <w:tcPr>
            <w:tcW w:w="3685" w:type="dxa"/>
            <w:noWrap/>
            <w:hideMark/>
          </w:tcPr>
          <w:p w14:paraId="2A11EFC1" w14:textId="77777777" w:rsidR="002347FC" w:rsidRPr="003506E5" w:rsidRDefault="002347FC" w:rsidP="002F2B5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3506E5">
              <w:rPr>
                <w:rFonts w:asciiTheme="majorHAnsi" w:hAnsiTheme="majorHAnsi" w:cstheme="majorHAnsi"/>
                <w:color w:val="000000"/>
                <w:sz w:val="20"/>
                <w:szCs w:val="20"/>
              </w:rPr>
              <w:t>ABDULLAH HOSPITAL SKARDU</w:t>
            </w:r>
          </w:p>
        </w:tc>
        <w:tc>
          <w:tcPr>
            <w:tcW w:w="1669" w:type="dxa"/>
            <w:noWrap/>
            <w:hideMark/>
          </w:tcPr>
          <w:p w14:paraId="0D2788D9" w14:textId="77777777" w:rsidR="002347FC" w:rsidRPr="003506E5" w:rsidRDefault="002347FC" w:rsidP="002F2B5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3506E5">
              <w:rPr>
                <w:rFonts w:asciiTheme="majorHAnsi" w:hAnsiTheme="majorHAnsi" w:cstheme="majorHAnsi"/>
                <w:color w:val="000000"/>
                <w:sz w:val="20"/>
                <w:szCs w:val="20"/>
              </w:rPr>
              <w:t>BALTISTAN</w:t>
            </w:r>
          </w:p>
        </w:tc>
        <w:tc>
          <w:tcPr>
            <w:tcW w:w="1380" w:type="dxa"/>
            <w:noWrap/>
            <w:hideMark/>
          </w:tcPr>
          <w:p w14:paraId="40B9961E" w14:textId="77777777" w:rsidR="002347FC" w:rsidRPr="003506E5" w:rsidRDefault="002347FC" w:rsidP="002F2B5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3506E5">
              <w:rPr>
                <w:rFonts w:asciiTheme="majorHAnsi" w:hAnsiTheme="majorHAnsi" w:cstheme="majorHAnsi"/>
                <w:color w:val="000000"/>
                <w:sz w:val="20"/>
                <w:szCs w:val="20"/>
              </w:rPr>
              <w:t>1,022</w:t>
            </w:r>
          </w:p>
        </w:tc>
        <w:tc>
          <w:tcPr>
            <w:tcW w:w="1487" w:type="dxa"/>
            <w:noWrap/>
            <w:hideMark/>
          </w:tcPr>
          <w:p w14:paraId="2AC0D9F6" w14:textId="77777777" w:rsidR="002347FC" w:rsidRPr="003506E5" w:rsidRDefault="002347FC" w:rsidP="002F2B5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3506E5">
              <w:rPr>
                <w:rFonts w:asciiTheme="majorHAnsi" w:hAnsiTheme="majorHAnsi" w:cstheme="majorHAnsi"/>
                <w:color w:val="000000"/>
                <w:sz w:val="20"/>
                <w:szCs w:val="20"/>
              </w:rPr>
              <w:t>1,021</w:t>
            </w:r>
          </w:p>
        </w:tc>
      </w:tr>
      <w:tr w:rsidR="002347FC" w:rsidRPr="003506E5" w14:paraId="1D28299B" w14:textId="77777777" w:rsidTr="002F2B5E">
        <w:trPr>
          <w:trHeight w:val="300"/>
        </w:trPr>
        <w:tc>
          <w:tcPr>
            <w:cnfStyle w:val="001000000000" w:firstRow="0" w:lastRow="0" w:firstColumn="1" w:lastColumn="0" w:oddVBand="0" w:evenVBand="0" w:oddHBand="0" w:evenHBand="0" w:firstRowFirstColumn="0" w:firstRowLastColumn="0" w:lastRowFirstColumn="0" w:lastRowLastColumn="0"/>
            <w:tcW w:w="846" w:type="dxa"/>
            <w:noWrap/>
          </w:tcPr>
          <w:p w14:paraId="339D7991" w14:textId="77777777" w:rsidR="002347FC" w:rsidRPr="003506E5" w:rsidRDefault="002347FC" w:rsidP="002347FC">
            <w:pPr>
              <w:pStyle w:val="ListParagraph"/>
              <w:numPr>
                <w:ilvl w:val="0"/>
                <w:numId w:val="32"/>
              </w:numPr>
              <w:spacing w:after="0" w:line="240" w:lineRule="auto"/>
              <w:jc w:val="right"/>
              <w:rPr>
                <w:rFonts w:asciiTheme="majorHAnsi" w:hAnsiTheme="majorHAnsi" w:cstheme="majorHAnsi"/>
                <w:b w:val="0"/>
                <w:bCs/>
                <w:color w:val="000000"/>
                <w:sz w:val="20"/>
                <w:szCs w:val="20"/>
              </w:rPr>
            </w:pPr>
          </w:p>
        </w:tc>
        <w:tc>
          <w:tcPr>
            <w:tcW w:w="3685" w:type="dxa"/>
            <w:noWrap/>
            <w:hideMark/>
          </w:tcPr>
          <w:p w14:paraId="3B4D8E03" w14:textId="77777777" w:rsidR="002347FC" w:rsidRPr="003506E5" w:rsidRDefault="002347FC" w:rsidP="002F2B5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3506E5">
              <w:rPr>
                <w:rFonts w:asciiTheme="majorHAnsi" w:hAnsiTheme="majorHAnsi" w:cstheme="majorHAnsi"/>
                <w:color w:val="000000"/>
                <w:sz w:val="20"/>
                <w:szCs w:val="20"/>
              </w:rPr>
              <w:t>BALTISTAN SURGICAL AND MEDICAL COMPLEX SKARDU</w:t>
            </w:r>
          </w:p>
        </w:tc>
        <w:tc>
          <w:tcPr>
            <w:tcW w:w="1669" w:type="dxa"/>
            <w:noWrap/>
            <w:hideMark/>
          </w:tcPr>
          <w:p w14:paraId="294DD6DE" w14:textId="77777777" w:rsidR="002347FC" w:rsidRPr="003506E5" w:rsidRDefault="002347FC" w:rsidP="002F2B5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3506E5">
              <w:rPr>
                <w:rFonts w:asciiTheme="majorHAnsi" w:hAnsiTheme="majorHAnsi" w:cstheme="majorHAnsi"/>
                <w:color w:val="000000"/>
                <w:sz w:val="20"/>
                <w:szCs w:val="20"/>
              </w:rPr>
              <w:t>BALTISTAN</w:t>
            </w:r>
          </w:p>
        </w:tc>
        <w:tc>
          <w:tcPr>
            <w:tcW w:w="1380" w:type="dxa"/>
            <w:noWrap/>
            <w:hideMark/>
          </w:tcPr>
          <w:p w14:paraId="2A38CAF5" w14:textId="77777777" w:rsidR="002347FC" w:rsidRPr="003506E5" w:rsidRDefault="002347FC" w:rsidP="002F2B5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3506E5">
              <w:rPr>
                <w:rFonts w:asciiTheme="majorHAnsi" w:hAnsiTheme="majorHAnsi" w:cstheme="majorHAnsi"/>
                <w:color w:val="000000"/>
                <w:sz w:val="20"/>
                <w:szCs w:val="20"/>
              </w:rPr>
              <w:t>709</w:t>
            </w:r>
          </w:p>
        </w:tc>
        <w:tc>
          <w:tcPr>
            <w:tcW w:w="1487" w:type="dxa"/>
            <w:noWrap/>
            <w:hideMark/>
          </w:tcPr>
          <w:p w14:paraId="5FCED758" w14:textId="77777777" w:rsidR="002347FC" w:rsidRPr="003506E5" w:rsidRDefault="002347FC" w:rsidP="002F2B5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3506E5">
              <w:rPr>
                <w:rFonts w:asciiTheme="majorHAnsi" w:hAnsiTheme="majorHAnsi" w:cstheme="majorHAnsi"/>
                <w:color w:val="000000"/>
                <w:sz w:val="20"/>
                <w:szCs w:val="20"/>
              </w:rPr>
              <w:t>708</w:t>
            </w:r>
          </w:p>
        </w:tc>
      </w:tr>
      <w:tr w:rsidR="002347FC" w:rsidRPr="003506E5" w14:paraId="7B61DA58" w14:textId="77777777" w:rsidTr="002F2B5E">
        <w:trPr>
          <w:trHeight w:val="300"/>
        </w:trPr>
        <w:tc>
          <w:tcPr>
            <w:cnfStyle w:val="001000000000" w:firstRow="0" w:lastRow="0" w:firstColumn="1" w:lastColumn="0" w:oddVBand="0" w:evenVBand="0" w:oddHBand="0" w:evenHBand="0" w:firstRowFirstColumn="0" w:firstRowLastColumn="0" w:lastRowFirstColumn="0" w:lastRowLastColumn="0"/>
            <w:tcW w:w="846" w:type="dxa"/>
            <w:noWrap/>
          </w:tcPr>
          <w:p w14:paraId="28D0E299" w14:textId="77777777" w:rsidR="002347FC" w:rsidRPr="003506E5" w:rsidRDefault="002347FC" w:rsidP="002347FC">
            <w:pPr>
              <w:pStyle w:val="ListParagraph"/>
              <w:numPr>
                <w:ilvl w:val="0"/>
                <w:numId w:val="32"/>
              </w:numPr>
              <w:spacing w:after="0" w:line="240" w:lineRule="auto"/>
              <w:jc w:val="right"/>
              <w:rPr>
                <w:rFonts w:asciiTheme="majorHAnsi" w:hAnsiTheme="majorHAnsi" w:cstheme="majorHAnsi"/>
                <w:b w:val="0"/>
                <w:bCs/>
                <w:color w:val="000000"/>
                <w:sz w:val="20"/>
                <w:szCs w:val="20"/>
              </w:rPr>
            </w:pPr>
          </w:p>
        </w:tc>
        <w:tc>
          <w:tcPr>
            <w:tcW w:w="3685" w:type="dxa"/>
            <w:noWrap/>
            <w:hideMark/>
          </w:tcPr>
          <w:p w14:paraId="7091BF67" w14:textId="77777777" w:rsidR="002347FC" w:rsidRPr="003506E5" w:rsidRDefault="002347FC" w:rsidP="002F2B5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3506E5">
              <w:rPr>
                <w:rFonts w:asciiTheme="majorHAnsi" w:hAnsiTheme="majorHAnsi" w:cstheme="majorHAnsi"/>
                <w:color w:val="000000"/>
                <w:sz w:val="20"/>
                <w:szCs w:val="20"/>
              </w:rPr>
              <w:t>DISTRICT HEAD QUARTER SKARDU</w:t>
            </w:r>
          </w:p>
        </w:tc>
        <w:tc>
          <w:tcPr>
            <w:tcW w:w="1669" w:type="dxa"/>
            <w:noWrap/>
            <w:hideMark/>
          </w:tcPr>
          <w:p w14:paraId="2268B89F" w14:textId="77777777" w:rsidR="002347FC" w:rsidRPr="003506E5" w:rsidRDefault="002347FC" w:rsidP="002F2B5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3506E5">
              <w:rPr>
                <w:rFonts w:asciiTheme="majorHAnsi" w:hAnsiTheme="majorHAnsi" w:cstheme="majorHAnsi"/>
                <w:color w:val="000000"/>
                <w:sz w:val="20"/>
                <w:szCs w:val="20"/>
              </w:rPr>
              <w:t>BALTISTAN</w:t>
            </w:r>
          </w:p>
        </w:tc>
        <w:tc>
          <w:tcPr>
            <w:tcW w:w="1380" w:type="dxa"/>
            <w:noWrap/>
            <w:hideMark/>
          </w:tcPr>
          <w:p w14:paraId="267F7C50" w14:textId="77777777" w:rsidR="002347FC" w:rsidRPr="003506E5" w:rsidRDefault="002347FC" w:rsidP="002F2B5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3506E5">
              <w:rPr>
                <w:rFonts w:asciiTheme="majorHAnsi" w:hAnsiTheme="majorHAnsi" w:cstheme="majorHAnsi"/>
                <w:color w:val="000000"/>
                <w:sz w:val="20"/>
                <w:szCs w:val="20"/>
              </w:rPr>
              <w:t>1,105</w:t>
            </w:r>
          </w:p>
        </w:tc>
        <w:tc>
          <w:tcPr>
            <w:tcW w:w="1487" w:type="dxa"/>
            <w:noWrap/>
            <w:hideMark/>
          </w:tcPr>
          <w:p w14:paraId="03D0C6A8" w14:textId="77777777" w:rsidR="002347FC" w:rsidRPr="003506E5" w:rsidRDefault="002347FC" w:rsidP="002F2B5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3506E5">
              <w:rPr>
                <w:rFonts w:asciiTheme="majorHAnsi" w:hAnsiTheme="majorHAnsi" w:cstheme="majorHAnsi"/>
                <w:color w:val="000000"/>
                <w:sz w:val="20"/>
                <w:szCs w:val="20"/>
              </w:rPr>
              <w:t>1,102</w:t>
            </w:r>
          </w:p>
        </w:tc>
      </w:tr>
      <w:tr w:rsidR="002347FC" w:rsidRPr="003506E5" w14:paraId="0BD47B4B" w14:textId="77777777" w:rsidTr="002F2B5E">
        <w:trPr>
          <w:trHeight w:val="300"/>
        </w:trPr>
        <w:tc>
          <w:tcPr>
            <w:cnfStyle w:val="001000000000" w:firstRow="0" w:lastRow="0" w:firstColumn="1" w:lastColumn="0" w:oddVBand="0" w:evenVBand="0" w:oddHBand="0" w:evenHBand="0" w:firstRowFirstColumn="0" w:firstRowLastColumn="0" w:lastRowFirstColumn="0" w:lastRowLastColumn="0"/>
            <w:tcW w:w="846" w:type="dxa"/>
            <w:noWrap/>
          </w:tcPr>
          <w:p w14:paraId="74024E76" w14:textId="77777777" w:rsidR="002347FC" w:rsidRPr="003506E5" w:rsidRDefault="002347FC" w:rsidP="002347FC">
            <w:pPr>
              <w:pStyle w:val="ListParagraph"/>
              <w:numPr>
                <w:ilvl w:val="0"/>
                <w:numId w:val="32"/>
              </w:numPr>
              <w:spacing w:after="0" w:line="240" w:lineRule="auto"/>
              <w:jc w:val="right"/>
              <w:rPr>
                <w:rFonts w:asciiTheme="majorHAnsi" w:hAnsiTheme="majorHAnsi" w:cstheme="majorHAnsi"/>
                <w:b w:val="0"/>
                <w:bCs/>
                <w:color w:val="000000"/>
                <w:sz w:val="20"/>
                <w:szCs w:val="20"/>
              </w:rPr>
            </w:pPr>
          </w:p>
        </w:tc>
        <w:tc>
          <w:tcPr>
            <w:tcW w:w="3685" w:type="dxa"/>
            <w:noWrap/>
            <w:hideMark/>
          </w:tcPr>
          <w:p w14:paraId="178905AC" w14:textId="77777777" w:rsidR="002347FC" w:rsidRPr="003506E5" w:rsidRDefault="002347FC" w:rsidP="002F2B5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3506E5">
              <w:rPr>
                <w:rFonts w:asciiTheme="majorHAnsi" w:hAnsiTheme="majorHAnsi" w:cstheme="majorHAnsi"/>
                <w:color w:val="000000"/>
                <w:sz w:val="20"/>
                <w:szCs w:val="20"/>
              </w:rPr>
              <w:t>DOCTORS HOSPITAL SKARDU</w:t>
            </w:r>
          </w:p>
        </w:tc>
        <w:tc>
          <w:tcPr>
            <w:tcW w:w="1669" w:type="dxa"/>
            <w:noWrap/>
            <w:hideMark/>
          </w:tcPr>
          <w:p w14:paraId="7EAB543F" w14:textId="77777777" w:rsidR="002347FC" w:rsidRPr="003506E5" w:rsidRDefault="002347FC" w:rsidP="002F2B5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3506E5">
              <w:rPr>
                <w:rFonts w:asciiTheme="majorHAnsi" w:hAnsiTheme="majorHAnsi" w:cstheme="majorHAnsi"/>
                <w:color w:val="000000"/>
                <w:sz w:val="20"/>
                <w:szCs w:val="20"/>
              </w:rPr>
              <w:t>BALTISTAN</w:t>
            </w:r>
          </w:p>
        </w:tc>
        <w:tc>
          <w:tcPr>
            <w:tcW w:w="1380" w:type="dxa"/>
            <w:noWrap/>
            <w:hideMark/>
          </w:tcPr>
          <w:p w14:paraId="0DCC0102" w14:textId="77777777" w:rsidR="002347FC" w:rsidRPr="003506E5" w:rsidRDefault="002347FC" w:rsidP="002F2B5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3506E5">
              <w:rPr>
                <w:rFonts w:asciiTheme="majorHAnsi" w:hAnsiTheme="majorHAnsi" w:cstheme="majorHAnsi"/>
                <w:color w:val="000000"/>
                <w:sz w:val="20"/>
                <w:szCs w:val="20"/>
              </w:rPr>
              <w:t>150</w:t>
            </w:r>
          </w:p>
        </w:tc>
        <w:tc>
          <w:tcPr>
            <w:tcW w:w="1487" w:type="dxa"/>
            <w:noWrap/>
            <w:hideMark/>
          </w:tcPr>
          <w:p w14:paraId="664F509D" w14:textId="77777777" w:rsidR="002347FC" w:rsidRPr="003506E5" w:rsidRDefault="002347FC" w:rsidP="002F2B5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3506E5">
              <w:rPr>
                <w:rFonts w:asciiTheme="majorHAnsi" w:hAnsiTheme="majorHAnsi" w:cstheme="majorHAnsi"/>
                <w:color w:val="000000"/>
                <w:sz w:val="20"/>
                <w:szCs w:val="20"/>
              </w:rPr>
              <w:t>150</w:t>
            </w:r>
          </w:p>
        </w:tc>
      </w:tr>
      <w:tr w:rsidR="002347FC" w:rsidRPr="003506E5" w14:paraId="5632CD7B" w14:textId="77777777" w:rsidTr="002F2B5E">
        <w:trPr>
          <w:trHeight w:val="300"/>
        </w:trPr>
        <w:tc>
          <w:tcPr>
            <w:cnfStyle w:val="001000000000" w:firstRow="0" w:lastRow="0" w:firstColumn="1" w:lastColumn="0" w:oddVBand="0" w:evenVBand="0" w:oddHBand="0" w:evenHBand="0" w:firstRowFirstColumn="0" w:firstRowLastColumn="0" w:lastRowFirstColumn="0" w:lastRowLastColumn="0"/>
            <w:tcW w:w="846" w:type="dxa"/>
            <w:noWrap/>
          </w:tcPr>
          <w:p w14:paraId="718AA111" w14:textId="77777777" w:rsidR="002347FC" w:rsidRPr="003506E5" w:rsidRDefault="002347FC" w:rsidP="002347FC">
            <w:pPr>
              <w:pStyle w:val="ListParagraph"/>
              <w:numPr>
                <w:ilvl w:val="0"/>
                <w:numId w:val="32"/>
              </w:numPr>
              <w:spacing w:after="0" w:line="240" w:lineRule="auto"/>
              <w:jc w:val="right"/>
              <w:rPr>
                <w:rFonts w:asciiTheme="majorHAnsi" w:hAnsiTheme="majorHAnsi" w:cstheme="majorHAnsi"/>
                <w:b w:val="0"/>
                <w:bCs/>
                <w:color w:val="000000"/>
                <w:sz w:val="20"/>
                <w:szCs w:val="20"/>
              </w:rPr>
            </w:pPr>
          </w:p>
        </w:tc>
        <w:tc>
          <w:tcPr>
            <w:tcW w:w="3685" w:type="dxa"/>
            <w:noWrap/>
            <w:hideMark/>
          </w:tcPr>
          <w:p w14:paraId="6E520B8C" w14:textId="77777777" w:rsidR="002347FC" w:rsidRPr="003506E5" w:rsidRDefault="002347FC" w:rsidP="002F2B5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3506E5">
              <w:rPr>
                <w:rFonts w:asciiTheme="majorHAnsi" w:hAnsiTheme="majorHAnsi" w:cstheme="majorHAnsi"/>
                <w:color w:val="000000"/>
                <w:sz w:val="20"/>
                <w:szCs w:val="20"/>
              </w:rPr>
              <w:t>CITY HOSPITAL GILGIT</w:t>
            </w:r>
          </w:p>
        </w:tc>
        <w:tc>
          <w:tcPr>
            <w:tcW w:w="1669" w:type="dxa"/>
            <w:noWrap/>
            <w:hideMark/>
          </w:tcPr>
          <w:p w14:paraId="5C91FC29" w14:textId="77777777" w:rsidR="002347FC" w:rsidRPr="003506E5" w:rsidRDefault="002347FC" w:rsidP="002F2B5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3506E5">
              <w:rPr>
                <w:rFonts w:asciiTheme="majorHAnsi" w:hAnsiTheme="majorHAnsi" w:cstheme="majorHAnsi"/>
                <w:color w:val="000000"/>
                <w:sz w:val="20"/>
                <w:szCs w:val="20"/>
              </w:rPr>
              <w:t>GILGIT</w:t>
            </w:r>
          </w:p>
        </w:tc>
        <w:tc>
          <w:tcPr>
            <w:tcW w:w="1380" w:type="dxa"/>
            <w:noWrap/>
            <w:hideMark/>
          </w:tcPr>
          <w:p w14:paraId="678385F0" w14:textId="77777777" w:rsidR="002347FC" w:rsidRPr="003506E5" w:rsidRDefault="002347FC" w:rsidP="002F2B5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3506E5">
              <w:rPr>
                <w:rFonts w:asciiTheme="majorHAnsi" w:hAnsiTheme="majorHAnsi" w:cstheme="majorHAnsi"/>
                <w:color w:val="000000"/>
                <w:sz w:val="20"/>
                <w:szCs w:val="20"/>
              </w:rPr>
              <w:t>286</w:t>
            </w:r>
          </w:p>
        </w:tc>
        <w:tc>
          <w:tcPr>
            <w:tcW w:w="1487" w:type="dxa"/>
            <w:noWrap/>
            <w:hideMark/>
          </w:tcPr>
          <w:p w14:paraId="3BB6283F" w14:textId="77777777" w:rsidR="002347FC" w:rsidRPr="003506E5" w:rsidRDefault="002347FC" w:rsidP="002F2B5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3506E5">
              <w:rPr>
                <w:rFonts w:asciiTheme="majorHAnsi" w:hAnsiTheme="majorHAnsi" w:cstheme="majorHAnsi"/>
                <w:color w:val="000000"/>
                <w:sz w:val="20"/>
                <w:szCs w:val="20"/>
              </w:rPr>
              <w:t>285</w:t>
            </w:r>
          </w:p>
        </w:tc>
      </w:tr>
      <w:tr w:rsidR="002347FC" w:rsidRPr="003506E5" w14:paraId="704281CC" w14:textId="77777777" w:rsidTr="002F2B5E">
        <w:trPr>
          <w:trHeight w:val="300"/>
        </w:trPr>
        <w:tc>
          <w:tcPr>
            <w:cnfStyle w:val="001000000000" w:firstRow="0" w:lastRow="0" w:firstColumn="1" w:lastColumn="0" w:oddVBand="0" w:evenVBand="0" w:oddHBand="0" w:evenHBand="0" w:firstRowFirstColumn="0" w:firstRowLastColumn="0" w:lastRowFirstColumn="0" w:lastRowLastColumn="0"/>
            <w:tcW w:w="846" w:type="dxa"/>
            <w:noWrap/>
          </w:tcPr>
          <w:p w14:paraId="7601C44B" w14:textId="77777777" w:rsidR="002347FC" w:rsidRPr="003506E5" w:rsidRDefault="002347FC" w:rsidP="002347FC">
            <w:pPr>
              <w:pStyle w:val="ListParagraph"/>
              <w:numPr>
                <w:ilvl w:val="0"/>
                <w:numId w:val="32"/>
              </w:numPr>
              <w:spacing w:after="0" w:line="240" w:lineRule="auto"/>
              <w:jc w:val="right"/>
              <w:rPr>
                <w:rFonts w:asciiTheme="majorHAnsi" w:hAnsiTheme="majorHAnsi" w:cstheme="majorHAnsi"/>
                <w:b w:val="0"/>
                <w:bCs/>
                <w:color w:val="000000"/>
                <w:sz w:val="20"/>
                <w:szCs w:val="20"/>
              </w:rPr>
            </w:pPr>
          </w:p>
        </w:tc>
        <w:tc>
          <w:tcPr>
            <w:tcW w:w="3685" w:type="dxa"/>
            <w:noWrap/>
            <w:hideMark/>
          </w:tcPr>
          <w:p w14:paraId="3CD45E91" w14:textId="77777777" w:rsidR="002347FC" w:rsidRPr="003506E5" w:rsidRDefault="002347FC" w:rsidP="002F2B5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3506E5">
              <w:rPr>
                <w:rFonts w:asciiTheme="majorHAnsi" w:hAnsiTheme="majorHAnsi" w:cstheme="majorHAnsi"/>
                <w:color w:val="000000"/>
                <w:sz w:val="20"/>
                <w:szCs w:val="20"/>
              </w:rPr>
              <w:t>DISTRICT HEAD QUARTER CHILAS</w:t>
            </w:r>
          </w:p>
        </w:tc>
        <w:tc>
          <w:tcPr>
            <w:tcW w:w="1669" w:type="dxa"/>
            <w:noWrap/>
            <w:hideMark/>
          </w:tcPr>
          <w:p w14:paraId="3A3CBB1D" w14:textId="77777777" w:rsidR="002347FC" w:rsidRPr="003506E5" w:rsidRDefault="002347FC" w:rsidP="002F2B5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3506E5">
              <w:rPr>
                <w:rFonts w:asciiTheme="majorHAnsi" w:hAnsiTheme="majorHAnsi" w:cstheme="majorHAnsi"/>
                <w:color w:val="000000"/>
                <w:sz w:val="20"/>
                <w:szCs w:val="20"/>
              </w:rPr>
              <w:t>DIAMIR</w:t>
            </w:r>
          </w:p>
        </w:tc>
        <w:tc>
          <w:tcPr>
            <w:tcW w:w="1380" w:type="dxa"/>
            <w:noWrap/>
            <w:hideMark/>
          </w:tcPr>
          <w:p w14:paraId="46E32A97" w14:textId="77777777" w:rsidR="002347FC" w:rsidRPr="003506E5" w:rsidRDefault="002347FC" w:rsidP="002F2B5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3506E5">
              <w:rPr>
                <w:rFonts w:asciiTheme="majorHAnsi" w:hAnsiTheme="majorHAnsi" w:cstheme="majorHAnsi"/>
                <w:color w:val="000000"/>
                <w:sz w:val="20"/>
                <w:szCs w:val="20"/>
              </w:rPr>
              <w:t>401</w:t>
            </w:r>
          </w:p>
        </w:tc>
        <w:tc>
          <w:tcPr>
            <w:tcW w:w="1487" w:type="dxa"/>
            <w:noWrap/>
            <w:hideMark/>
          </w:tcPr>
          <w:p w14:paraId="13E5C1A5" w14:textId="77777777" w:rsidR="002347FC" w:rsidRPr="003506E5" w:rsidRDefault="002347FC" w:rsidP="002F2B5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3506E5">
              <w:rPr>
                <w:rFonts w:asciiTheme="majorHAnsi" w:hAnsiTheme="majorHAnsi" w:cstheme="majorHAnsi"/>
                <w:color w:val="000000"/>
                <w:sz w:val="20"/>
                <w:szCs w:val="20"/>
              </w:rPr>
              <w:t>400</w:t>
            </w:r>
          </w:p>
        </w:tc>
      </w:tr>
    </w:tbl>
    <w:p w14:paraId="427A6B6A" w14:textId="77777777" w:rsidR="002347FC" w:rsidRPr="003506E5" w:rsidRDefault="002347FC" w:rsidP="002347FC">
      <w:pPr>
        <w:pStyle w:val="BodyText"/>
        <w:rPr>
          <w:highlight w:val="green"/>
        </w:rPr>
      </w:pPr>
    </w:p>
    <w:p w14:paraId="6D77A888" w14:textId="51A001E8" w:rsidR="002347FC" w:rsidRPr="003506E5" w:rsidRDefault="002347FC" w:rsidP="00F01393">
      <w:pPr>
        <w:tabs>
          <w:tab w:val="left" w:pos="2028"/>
        </w:tabs>
        <w:spacing w:after="160" w:line="256" w:lineRule="auto"/>
        <w:jc w:val="both"/>
        <w:rPr>
          <w:rFonts w:ascii="Calisto MT" w:hAnsi="Calisto MT" w:cstheme="minorBidi"/>
          <w:sz w:val="24"/>
          <w:szCs w:val="24"/>
        </w:rPr>
      </w:pPr>
      <w:r w:rsidRPr="003506E5">
        <w:t xml:space="preserve">Furthermore, Sehat Sahulat Program has recently recruited a Deputy Director and M&amp;E Officer for GB and </w:t>
      </w:r>
      <w:r w:rsidR="00F01393" w:rsidRPr="003506E5">
        <w:t xml:space="preserve">they have been </w:t>
      </w:r>
      <w:r w:rsidRPr="003506E5">
        <w:t>placed in PMU</w:t>
      </w:r>
      <w:r w:rsidR="00F01393" w:rsidRPr="003506E5">
        <w:t>-GB</w:t>
      </w:r>
      <w:r w:rsidRPr="003506E5">
        <w:t xml:space="preserve"> for smooth implementation of the Project in GB</w:t>
      </w:r>
      <w:r w:rsidRPr="003506E5">
        <w:rPr>
          <w:rFonts w:ascii="Calisto MT" w:hAnsi="Calisto MT"/>
          <w:sz w:val="24"/>
          <w:szCs w:val="24"/>
        </w:rPr>
        <w:t>.</w:t>
      </w:r>
    </w:p>
    <w:p w14:paraId="2289603F" w14:textId="77777777" w:rsidR="002347FC" w:rsidRPr="003506E5" w:rsidRDefault="002347FC" w:rsidP="002347FC">
      <w:pPr>
        <w:pStyle w:val="Heading3"/>
      </w:pPr>
      <w:bookmarkStart w:id="14" w:name="_Toc57215276"/>
      <w:r w:rsidRPr="003506E5">
        <w:lastRenderedPageBreak/>
        <w:t>Government Employees Health and Life Insurance Scheme</w:t>
      </w:r>
      <w:bookmarkEnd w:id="14"/>
    </w:p>
    <w:p w14:paraId="0B3E07AA" w14:textId="77777777" w:rsidR="002347FC" w:rsidRPr="003506E5" w:rsidRDefault="002347FC" w:rsidP="002347FC">
      <w:pPr>
        <w:pStyle w:val="BodyText"/>
      </w:pPr>
      <w:r w:rsidRPr="003506E5">
        <w:t xml:space="preserve">In order to provide better health care facilities to the Government employees, GB Assembly has passed an act namely “The Gilgit-Baltistan Civil Servants Health and Life Insurance Act, 2019”, through which around 50,000 government employees and their entitled family members will be provided with Health and Life Insurance Coverage. For this purpose, an advertisement was published in newspapers. The bidding process has been cancelled due to technical reasons. Government of GB is planning to start re-bidding to select an insurance company for insurance of government Employees.  </w:t>
      </w:r>
    </w:p>
    <w:p w14:paraId="65B8AFC4" w14:textId="77777777" w:rsidR="002347FC" w:rsidRPr="003506E5" w:rsidRDefault="002347FC" w:rsidP="002347FC">
      <w:pPr>
        <w:pStyle w:val="Heading3"/>
      </w:pPr>
      <w:bookmarkStart w:id="15" w:name="_Toc57215277"/>
      <w:r w:rsidRPr="003506E5">
        <w:t>Religious Clerics Health Insurance Scheme</w:t>
      </w:r>
      <w:bookmarkEnd w:id="15"/>
    </w:p>
    <w:p w14:paraId="1EF9CEB5" w14:textId="793BD614" w:rsidR="00846A29" w:rsidRPr="003506E5" w:rsidRDefault="002347FC" w:rsidP="002347FC">
      <w:pPr>
        <w:pStyle w:val="BodyText"/>
      </w:pPr>
      <w:r w:rsidRPr="003506E5">
        <w:t xml:space="preserve">Another health insurance scheme to provide health insurance coverage to the Imams/ Heads of all Mosques/ religious places of GB. The Government of GB has allocated PKR 65 million for this scheme in its Annual Development Programme. The PC-1 for this scheme will be prepared and after its approval, Request for Proposals will be floated later this year.  </w:t>
      </w:r>
      <w:r w:rsidR="00846A29" w:rsidRPr="003506E5">
        <w:br w:type="page"/>
      </w:r>
    </w:p>
    <w:p w14:paraId="51C353C4" w14:textId="77777777" w:rsidR="00B806F8" w:rsidRPr="003506E5" w:rsidRDefault="002E3BC6" w:rsidP="00846A29">
      <w:pPr>
        <w:pStyle w:val="Title"/>
      </w:pPr>
      <w:bookmarkStart w:id="16" w:name="_Hlk61837774"/>
      <w:bookmarkEnd w:id="0"/>
      <w:bookmarkEnd w:id="1"/>
      <w:bookmarkEnd w:id="2"/>
      <w:r w:rsidRPr="003506E5">
        <w:lastRenderedPageBreak/>
        <w:t xml:space="preserve">PART 2: </w:t>
      </w:r>
      <w:r w:rsidR="00DB0AFD" w:rsidRPr="003506E5">
        <w:t>Gilgit Baltistan</w:t>
      </w:r>
    </w:p>
    <w:p w14:paraId="4D7178EB" w14:textId="77777777" w:rsidR="00DA369A" w:rsidRPr="003506E5" w:rsidRDefault="00DA369A" w:rsidP="00DA369A">
      <w:pPr>
        <w:pStyle w:val="Heading1"/>
      </w:pPr>
      <w:bookmarkStart w:id="17" w:name="_Toc31073549"/>
      <w:bookmarkStart w:id="18" w:name="_Toc46776153"/>
      <w:bookmarkStart w:id="19" w:name="_Toc57215278"/>
      <w:bookmarkStart w:id="20" w:name="_Hlk61789974"/>
      <w:bookmarkEnd w:id="16"/>
      <w:r w:rsidRPr="003506E5">
        <w:lastRenderedPageBreak/>
        <w:t xml:space="preserve">Developments in Health Insurance Programmes in </w:t>
      </w:r>
      <w:bookmarkEnd w:id="17"/>
      <w:bookmarkEnd w:id="18"/>
      <w:r w:rsidR="002E3BC6" w:rsidRPr="003506E5">
        <w:t>GB</w:t>
      </w:r>
      <w:bookmarkEnd w:id="19"/>
    </w:p>
    <w:bookmarkEnd w:id="20"/>
    <w:p w14:paraId="4A71CBD4" w14:textId="77777777" w:rsidR="00E42624" w:rsidRPr="003506E5" w:rsidRDefault="00E42624" w:rsidP="00E42624">
      <w:pPr>
        <w:pStyle w:val="BodyText"/>
        <w:rPr>
          <w:lang w:eastAsia="en-US"/>
        </w:rPr>
      </w:pPr>
      <w:r w:rsidRPr="003506E5">
        <w:rPr>
          <w:lang w:eastAsia="en-US"/>
        </w:rPr>
        <w:t xml:space="preserve">The political government in Gilgit Baltistan completed its five-term in June 2020. New elections were held in November 2020 and Pakistan Tehreek e Insaaf (PTI) has formed the Government in Gilgit-Baltistan. Mr Khalid Khursheed has sworn in as new Chief Minister of Gilgit-Baltistan. </w:t>
      </w:r>
    </w:p>
    <w:p w14:paraId="1538ACBC" w14:textId="182CD44D" w:rsidR="005F5304" w:rsidRPr="003506E5" w:rsidRDefault="00E42624" w:rsidP="00E42624">
      <w:pPr>
        <w:pStyle w:val="BodyText"/>
        <w:rPr>
          <w:lang w:eastAsia="en-US"/>
        </w:rPr>
      </w:pPr>
      <w:r w:rsidRPr="003506E5">
        <w:rPr>
          <w:lang w:eastAsia="en-US"/>
        </w:rPr>
        <w:t xml:space="preserve">A presentation was given to the New Chief Minister on Social Health Protection Initiative. CM-GB took keen interest in SHPI and applauded the contribution of KfW towards Social Health Protection. CM-GB expressed his commitment for continuous collaboration with KfW.  </w:t>
      </w:r>
      <w:r w:rsidR="005F5304" w:rsidRPr="003506E5">
        <w:rPr>
          <w:lang w:eastAsia="en-US"/>
        </w:rPr>
        <w:t xml:space="preserve">  </w:t>
      </w:r>
    </w:p>
    <w:p w14:paraId="3A476836" w14:textId="77777777" w:rsidR="005F5304" w:rsidRPr="003506E5" w:rsidRDefault="005F5304" w:rsidP="005F5304">
      <w:pPr>
        <w:pStyle w:val="Heading20"/>
        <w:rPr>
          <w:rFonts w:eastAsiaTheme="majorEastAsia"/>
        </w:rPr>
      </w:pPr>
      <w:bookmarkStart w:id="21" w:name="_Toc57215279"/>
      <w:r w:rsidRPr="003506E5">
        <w:rPr>
          <w:rFonts w:eastAsiaTheme="majorEastAsia"/>
        </w:rPr>
        <w:t>KfW funded Social Health Protection Initiative</w:t>
      </w:r>
      <w:bookmarkEnd w:id="21"/>
    </w:p>
    <w:p w14:paraId="126B5999" w14:textId="719C4BD9" w:rsidR="00881589" w:rsidRPr="003506E5" w:rsidRDefault="00C618A7" w:rsidP="00704B1B">
      <w:pPr>
        <w:pStyle w:val="BodyText"/>
      </w:pPr>
      <w:r w:rsidRPr="003506E5">
        <w:t>Health is one the key indicator of human development in developing societies. In P</w:t>
      </w:r>
      <w:r w:rsidR="00704B1B" w:rsidRPr="003506E5">
        <w:t>akistan around 30% of household</w:t>
      </w:r>
      <w:r w:rsidRPr="003506E5">
        <w:t>s live in poverty situation</w:t>
      </w:r>
      <w:r w:rsidR="00704B1B" w:rsidRPr="003506E5">
        <w:t>.</w:t>
      </w:r>
      <w:r w:rsidRPr="003506E5">
        <w:t xml:space="preserve"> In terms of poverty situation rural areas are in worst condition as compare</w:t>
      </w:r>
      <w:r w:rsidR="00704B1B" w:rsidRPr="003506E5">
        <w:t>d</w:t>
      </w:r>
      <w:r w:rsidRPr="003506E5">
        <w:t xml:space="preserve"> to urban population. Gilgit Baltistan is one of the remotest and poverty-stricken area in northern </w:t>
      </w:r>
      <w:r w:rsidR="00881589" w:rsidRPr="003506E5">
        <w:t>Pakistan. Where a</w:t>
      </w:r>
      <w:r w:rsidRPr="003506E5">
        <w:t xml:space="preserve"> larger population is living </w:t>
      </w:r>
      <w:r w:rsidR="00704B1B" w:rsidRPr="003506E5">
        <w:t>below the</w:t>
      </w:r>
      <w:r w:rsidRPr="003506E5">
        <w:t xml:space="preserve"> poverty line</w:t>
      </w:r>
      <w:r w:rsidR="00881589" w:rsidRPr="003506E5">
        <w:t xml:space="preserve"> </w:t>
      </w:r>
      <w:r w:rsidRPr="003506E5">
        <w:t>a</w:t>
      </w:r>
      <w:r w:rsidR="00881589" w:rsidRPr="003506E5">
        <w:t>nd uncertainty, illness</w:t>
      </w:r>
      <w:r w:rsidRPr="003506E5">
        <w:t xml:space="preserve"> of a household head or an unforeseen event can put entire household into </w:t>
      </w:r>
      <w:r w:rsidR="00704B1B" w:rsidRPr="003506E5">
        <w:t xml:space="preserve">and </w:t>
      </w:r>
      <w:r w:rsidRPr="003506E5">
        <w:t xml:space="preserve">endless cycle of debt. Entire families are then held hostage to a system in which they have little chance to recover.  </w:t>
      </w:r>
      <w:r w:rsidR="00881589" w:rsidRPr="003506E5">
        <w:t xml:space="preserve">In this context, </w:t>
      </w:r>
      <w:r w:rsidR="00704B1B" w:rsidRPr="003506E5">
        <w:t>as a means to avert this hardship, Social Health Protection Initiative was launched in GB Government with financial assistance of KfW, Germany. A</w:t>
      </w:r>
      <w:r w:rsidR="00881589" w:rsidRPr="003506E5">
        <w:t xml:space="preserve">fter a competitive </w:t>
      </w:r>
      <w:r w:rsidR="00704B1B" w:rsidRPr="003506E5">
        <w:t xml:space="preserve">bidding </w:t>
      </w:r>
      <w:r w:rsidR="00881589" w:rsidRPr="003506E5">
        <w:t xml:space="preserve">process, the Aga Khan Development Network (AKDN) </w:t>
      </w:r>
      <w:r w:rsidR="00704B1B" w:rsidRPr="003506E5">
        <w:t>was</w:t>
      </w:r>
      <w:r w:rsidR="00881589" w:rsidRPr="003506E5">
        <w:t xml:space="preserve"> awarded contract for implementation of the Micro Health Insurance </w:t>
      </w:r>
      <w:r w:rsidR="00704B1B" w:rsidRPr="003506E5">
        <w:t xml:space="preserve">scheme under SHPI </w:t>
      </w:r>
      <w:r w:rsidR="00881589" w:rsidRPr="003506E5">
        <w:t xml:space="preserve">by the Department of Health Gilgit Baltistan. </w:t>
      </w:r>
    </w:p>
    <w:p w14:paraId="32471970" w14:textId="52DA4572" w:rsidR="00C618A7" w:rsidRPr="003506E5" w:rsidRDefault="00881589" w:rsidP="00704B1B">
      <w:pPr>
        <w:pStyle w:val="BodyText"/>
      </w:pPr>
      <w:r w:rsidRPr="003506E5">
        <w:t xml:space="preserve">The objectives of Micro Health Insurance </w:t>
      </w:r>
      <w:r w:rsidR="00704B1B" w:rsidRPr="003506E5">
        <w:t>are</w:t>
      </w:r>
      <w:r w:rsidRPr="003506E5">
        <w:t xml:space="preserve"> </w:t>
      </w:r>
      <w:r w:rsidR="00704B1B" w:rsidRPr="003506E5">
        <w:t>aimed at</w:t>
      </w:r>
      <w:r w:rsidRPr="003506E5">
        <w:t xml:space="preserve"> strengthening a demand side approach through a low-cost health insurance product for the whole population, protecting the ultra-poor from out-of-pocket catastrophic health expenditures, improving health seeking behaviours of beneficiaries and general community and improving overall health status of the communities of the Gilgit district. </w:t>
      </w:r>
    </w:p>
    <w:p w14:paraId="1EFF7330" w14:textId="033B3282" w:rsidR="005F5304" w:rsidRPr="003506E5" w:rsidRDefault="005F5304" w:rsidP="005F5304">
      <w:pPr>
        <w:pStyle w:val="BodyText"/>
      </w:pPr>
      <w:r w:rsidRPr="003506E5">
        <w:t xml:space="preserve">Under SHPI a Health Insurance scheme is being implemented that entails compulsory enrolment of 21% of the poorest families in programme district as per the Poverty Means Testing (PMT) scores maintained by Benazir Income Support Programme (BISP). The cut-off PMT score of poorest population of Gilgit district </w:t>
      </w:r>
      <w:r w:rsidR="00704B1B" w:rsidRPr="003506E5">
        <w:t xml:space="preserve">in existing scheme </w:t>
      </w:r>
      <w:r w:rsidRPr="003506E5">
        <w:t xml:space="preserve">is 16.17. The premium of this population is paid by the Department of Health GB out of the programme funds created by KfW and Government of GB, the share of the latter is being scaled up annually from the initial 5% contribution as a step towards long term sustainability of the scheme. </w:t>
      </w:r>
    </w:p>
    <w:p w14:paraId="48F2B820" w14:textId="13B20995" w:rsidR="005F5304" w:rsidRPr="003506E5" w:rsidRDefault="005F5304" w:rsidP="003B12E3">
      <w:pPr>
        <w:pStyle w:val="BodyText"/>
      </w:pPr>
      <w:r w:rsidRPr="003506E5">
        <w:t>In addition to increasing the contribution of Government of</w:t>
      </w:r>
      <w:r w:rsidR="003B12E3" w:rsidRPr="003506E5">
        <w:t xml:space="preserve"> GB share in payment of premium</w:t>
      </w:r>
      <w:r w:rsidRPr="003506E5">
        <w:t xml:space="preserve">, another important step taken in the design of the scheme for long term viability is mandatory enrolment of 29% population of the programme district amongst population with PMT scores of above the cut-off value over the life of the project. Considering that, two segments of population in Gilgit District are currently being insured for Health insurance under Social Health Protection Initiative: </w:t>
      </w:r>
    </w:p>
    <w:p w14:paraId="228E8C9A" w14:textId="22680786" w:rsidR="005F5304" w:rsidRPr="003506E5" w:rsidRDefault="005F5304" w:rsidP="00DE3320">
      <w:pPr>
        <w:pStyle w:val="BodyText"/>
        <w:numPr>
          <w:ilvl w:val="0"/>
          <w:numId w:val="29"/>
        </w:numPr>
      </w:pPr>
      <w:r w:rsidRPr="003506E5">
        <w:lastRenderedPageBreak/>
        <w:t xml:space="preserve">The poorest population group in the project area, whose premium will be paid by Department of Health GB out of the programme funds committed by German Government through KfW and Government of GB. Benazir Income Support Programme (BISP) data was used for enrolling the eligible households.  </w:t>
      </w:r>
    </w:p>
    <w:p w14:paraId="1CAE7839" w14:textId="77777777" w:rsidR="005F5304" w:rsidRPr="003506E5" w:rsidRDefault="005F5304" w:rsidP="00DE3320">
      <w:pPr>
        <w:pStyle w:val="BodyText"/>
        <w:numPr>
          <w:ilvl w:val="0"/>
          <w:numId w:val="29"/>
        </w:numPr>
      </w:pPr>
      <w:r w:rsidRPr="003506E5">
        <w:t xml:space="preserve">The population (7567 HHs equivalent to 29%), obtaining the insurance voluntarily by paying insurance premium themselves from population in Gilgit district.   </w:t>
      </w:r>
    </w:p>
    <w:p w14:paraId="6C46EFE1" w14:textId="77777777" w:rsidR="005F5304" w:rsidRPr="003506E5" w:rsidRDefault="005F5304" w:rsidP="005F5304">
      <w:pPr>
        <w:pStyle w:val="BodyText"/>
      </w:pPr>
      <w:r w:rsidRPr="003506E5">
        <w:t xml:space="preserve">Aga Khan Development Network (AKDN) Consortium, comprising Aga Khan Foundation Pakistan, Aga Khan Rural Support Programme and Jubilee Life, is implementing the scheme of MHI in Gilgit District under a contract with DOH-GB for five years since August 2016.   </w:t>
      </w:r>
    </w:p>
    <w:p w14:paraId="786D8E62" w14:textId="418A5D9E" w:rsidR="005F5304" w:rsidRPr="003506E5" w:rsidRDefault="005F5304" w:rsidP="005F5304">
      <w:pPr>
        <w:pStyle w:val="BodyText"/>
      </w:pPr>
      <w:r w:rsidRPr="003506E5">
        <w:t xml:space="preserve">The following table shows the updated status of </w:t>
      </w:r>
      <w:r w:rsidR="003B12E3" w:rsidRPr="003506E5">
        <w:t xml:space="preserve">population enrolled in </w:t>
      </w:r>
      <w:r w:rsidRPr="003506E5">
        <w:t>this scheme in Gilgit district as of 3</w:t>
      </w:r>
      <w:r w:rsidR="00C618A7" w:rsidRPr="003506E5">
        <w:t>1</w:t>
      </w:r>
      <w:r w:rsidR="00813E89" w:rsidRPr="003506E5">
        <w:rPr>
          <w:vertAlign w:val="superscript"/>
        </w:rPr>
        <w:t>st</w:t>
      </w:r>
      <w:r w:rsidR="00813E89" w:rsidRPr="003506E5">
        <w:t xml:space="preserve"> December</w:t>
      </w:r>
      <w:r w:rsidRPr="003506E5">
        <w:t xml:space="preserve"> 2020.</w:t>
      </w:r>
    </w:p>
    <w:p w14:paraId="1DFC4B5A" w14:textId="400634DB" w:rsidR="002E3BC6" w:rsidRPr="003506E5" w:rsidRDefault="002E3BC6" w:rsidP="002E3BC6">
      <w:pPr>
        <w:pStyle w:val="Caption"/>
      </w:pPr>
      <w:bookmarkStart w:id="22" w:name="_Toc57215224"/>
      <w:r w:rsidRPr="003506E5">
        <w:t xml:space="preserve">Table </w:t>
      </w:r>
      <w:r w:rsidR="00B76041" w:rsidRPr="003506E5">
        <w:fldChar w:fldCharType="begin"/>
      </w:r>
      <w:r w:rsidRPr="003506E5">
        <w:instrText xml:space="preserve"> SEQ Table \* ARABIC </w:instrText>
      </w:r>
      <w:r w:rsidR="00B76041" w:rsidRPr="003506E5">
        <w:fldChar w:fldCharType="separate"/>
      </w:r>
      <w:r w:rsidR="00AE4FA0">
        <w:rPr>
          <w:noProof/>
        </w:rPr>
        <w:t>4</w:t>
      </w:r>
      <w:r w:rsidR="00B76041" w:rsidRPr="003506E5">
        <w:fldChar w:fldCharType="end"/>
      </w:r>
      <w:r w:rsidRPr="003506E5">
        <w:t>: Enrolment of Beneficiary and Wider Populations</w:t>
      </w:r>
      <w:bookmarkEnd w:id="22"/>
    </w:p>
    <w:tbl>
      <w:tblPr>
        <w:tblW w:w="9120" w:type="dxa"/>
        <w:tblLook w:val="04A0" w:firstRow="1" w:lastRow="0" w:firstColumn="1" w:lastColumn="0" w:noHBand="0" w:noVBand="1"/>
      </w:tblPr>
      <w:tblGrid>
        <w:gridCol w:w="2588"/>
        <w:gridCol w:w="1361"/>
        <w:gridCol w:w="1250"/>
        <w:gridCol w:w="1361"/>
        <w:gridCol w:w="1265"/>
        <w:gridCol w:w="1295"/>
      </w:tblGrid>
      <w:tr w:rsidR="00813E89" w:rsidRPr="003506E5" w14:paraId="2357FD9F" w14:textId="77777777" w:rsidTr="00813E89">
        <w:trPr>
          <w:trHeight w:val="300"/>
        </w:trPr>
        <w:tc>
          <w:tcPr>
            <w:tcW w:w="9120" w:type="dxa"/>
            <w:gridSpan w:val="6"/>
            <w:tcBorders>
              <w:top w:val="single" w:sz="8" w:space="0" w:color="45A7E1"/>
              <w:left w:val="single" w:sz="8" w:space="0" w:color="45A7E1"/>
              <w:bottom w:val="single" w:sz="8" w:space="0" w:color="45A7E1"/>
              <w:right w:val="single" w:sz="8" w:space="0" w:color="45A7E1"/>
            </w:tcBorders>
            <w:shd w:val="clear" w:color="000000" w:fill="0B1F51"/>
            <w:vAlign w:val="center"/>
            <w:hideMark/>
          </w:tcPr>
          <w:p w14:paraId="5DEB34DD" w14:textId="77777777" w:rsidR="00813E89" w:rsidRPr="003506E5" w:rsidRDefault="00813E89" w:rsidP="00813E89">
            <w:pPr>
              <w:spacing w:after="0" w:line="240" w:lineRule="auto"/>
              <w:jc w:val="both"/>
              <w:rPr>
                <w:rFonts w:eastAsia="Times New Roman"/>
                <w:b/>
                <w:bCs/>
                <w:color w:val="FFFFFF"/>
                <w:sz w:val="20"/>
                <w:szCs w:val="20"/>
                <w:lang w:eastAsia="en-US"/>
              </w:rPr>
            </w:pPr>
            <w:r w:rsidRPr="003506E5">
              <w:rPr>
                <w:rFonts w:eastAsia="Times New Roman"/>
                <w:b/>
                <w:bCs/>
                <w:color w:val="FFFFFF" w:themeColor="background1"/>
                <w:sz w:val="20"/>
                <w:szCs w:val="20"/>
                <w:lang w:eastAsia="en-US"/>
              </w:rPr>
              <w:t>Enrolment: Target vs. Achievement</w:t>
            </w:r>
          </w:p>
        </w:tc>
      </w:tr>
      <w:tr w:rsidR="00813E89" w:rsidRPr="003506E5" w14:paraId="4560DE06" w14:textId="77777777" w:rsidTr="003B12E3">
        <w:trPr>
          <w:trHeight w:val="300"/>
        </w:trPr>
        <w:tc>
          <w:tcPr>
            <w:tcW w:w="2588" w:type="dxa"/>
            <w:vMerge w:val="restart"/>
            <w:tcBorders>
              <w:top w:val="nil"/>
              <w:left w:val="single" w:sz="8" w:space="0" w:color="45A7E1"/>
              <w:bottom w:val="single" w:sz="8" w:space="0" w:color="45A7E1"/>
              <w:right w:val="single" w:sz="8" w:space="0" w:color="45A7E1"/>
            </w:tcBorders>
            <w:shd w:val="clear" w:color="000000" w:fill="DBE4ED"/>
            <w:vAlign w:val="center"/>
            <w:hideMark/>
          </w:tcPr>
          <w:p w14:paraId="01A96F7E" w14:textId="77777777" w:rsidR="00813E89" w:rsidRPr="003506E5" w:rsidRDefault="00813E89" w:rsidP="00813E89">
            <w:pPr>
              <w:spacing w:after="0" w:line="240" w:lineRule="auto"/>
              <w:jc w:val="both"/>
              <w:rPr>
                <w:rFonts w:eastAsia="Times New Roman"/>
                <w:b/>
                <w:bCs/>
                <w:color w:val="0B1F51"/>
                <w:sz w:val="20"/>
                <w:szCs w:val="20"/>
                <w:lang w:eastAsia="en-US"/>
              </w:rPr>
            </w:pPr>
            <w:r w:rsidRPr="003506E5">
              <w:rPr>
                <w:rFonts w:eastAsia="Times New Roman"/>
                <w:b/>
                <w:bCs/>
                <w:color w:val="0B1F51"/>
                <w:sz w:val="20"/>
                <w:szCs w:val="20"/>
                <w:lang w:eastAsia="en-US"/>
              </w:rPr>
              <w:t xml:space="preserve">  District Gilgit</w:t>
            </w:r>
          </w:p>
        </w:tc>
        <w:tc>
          <w:tcPr>
            <w:tcW w:w="2611" w:type="dxa"/>
            <w:gridSpan w:val="2"/>
            <w:tcBorders>
              <w:top w:val="single" w:sz="8" w:space="0" w:color="45A7E1"/>
              <w:left w:val="nil"/>
              <w:bottom w:val="single" w:sz="8" w:space="0" w:color="45A7E1"/>
              <w:right w:val="single" w:sz="8" w:space="0" w:color="45A7E1"/>
            </w:tcBorders>
            <w:shd w:val="clear" w:color="000000" w:fill="0A1F50"/>
            <w:vAlign w:val="center"/>
            <w:hideMark/>
          </w:tcPr>
          <w:p w14:paraId="5C26E720" w14:textId="77777777" w:rsidR="00813E89" w:rsidRPr="003506E5" w:rsidRDefault="00813E89" w:rsidP="00813E89">
            <w:pPr>
              <w:spacing w:after="0" w:line="240" w:lineRule="auto"/>
              <w:jc w:val="center"/>
              <w:rPr>
                <w:rFonts w:eastAsia="Times New Roman"/>
                <w:b/>
                <w:bCs/>
                <w:color w:val="FFFFFF"/>
                <w:sz w:val="20"/>
                <w:szCs w:val="20"/>
                <w:lang w:eastAsia="en-US"/>
              </w:rPr>
            </w:pPr>
            <w:r w:rsidRPr="003506E5">
              <w:rPr>
                <w:rFonts w:eastAsia="Times New Roman"/>
                <w:b/>
                <w:bCs/>
                <w:sz w:val="20"/>
                <w:szCs w:val="20"/>
                <w:lang w:eastAsia="en-US"/>
              </w:rPr>
              <w:t>Target</w:t>
            </w:r>
          </w:p>
        </w:tc>
        <w:tc>
          <w:tcPr>
            <w:tcW w:w="2626" w:type="dxa"/>
            <w:gridSpan w:val="2"/>
            <w:tcBorders>
              <w:top w:val="single" w:sz="8" w:space="0" w:color="45A7E1"/>
              <w:left w:val="nil"/>
              <w:bottom w:val="single" w:sz="8" w:space="0" w:color="45A7E1"/>
              <w:right w:val="single" w:sz="8" w:space="0" w:color="45A7E1"/>
            </w:tcBorders>
            <w:shd w:val="clear" w:color="000000" w:fill="0A1F50"/>
            <w:vAlign w:val="center"/>
            <w:hideMark/>
          </w:tcPr>
          <w:p w14:paraId="5B7D92DD" w14:textId="77777777" w:rsidR="00813E89" w:rsidRPr="003506E5" w:rsidRDefault="00813E89" w:rsidP="00813E89">
            <w:pPr>
              <w:spacing w:after="0" w:line="240" w:lineRule="auto"/>
              <w:jc w:val="center"/>
              <w:rPr>
                <w:rFonts w:eastAsia="Times New Roman"/>
                <w:b/>
                <w:bCs/>
                <w:color w:val="FFFFFF"/>
                <w:sz w:val="20"/>
                <w:szCs w:val="20"/>
                <w:lang w:eastAsia="en-US"/>
              </w:rPr>
            </w:pPr>
            <w:r w:rsidRPr="003506E5">
              <w:rPr>
                <w:rFonts w:eastAsia="Times New Roman"/>
                <w:b/>
                <w:bCs/>
                <w:sz w:val="20"/>
                <w:szCs w:val="20"/>
                <w:lang w:eastAsia="en-US"/>
              </w:rPr>
              <w:t>Achievement</w:t>
            </w:r>
          </w:p>
        </w:tc>
        <w:tc>
          <w:tcPr>
            <w:tcW w:w="1295" w:type="dxa"/>
            <w:vMerge w:val="restart"/>
            <w:tcBorders>
              <w:top w:val="nil"/>
              <w:left w:val="single" w:sz="8" w:space="0" w:color="45A7E1"/>
              <w:bottom w:val="single" w:sz="8" w:space="0" w:color="45A7E1"/>
              <w:right w:val="single" w:sz="8" w:space="0" w:color="45A7E1"/>
            </w:tcBorders>
            <w:shd w:val="clear" w:color="000000" w:fill="0A1F50"/>
            <w:vAlign w:val="center"/>
            <w:hideMark/>
          </w:tcPr>
          <w:p w14:paraId="7B77FE39" w14:textId="77777777" w:rsidR="00813E89" w:rsidRPr="003506E5" w:rsidRDefault="00813E89" w:rsidP="00813E89">
            <w:pPr>
              <w:spacing w:after="0" w:line="240" w:lineRule="auto"/>
              <w:jc w:val="center"/>
              <w:rPr>
                <w:rFonts w:eastAsia="Times New Roman"/>
                <w:b/>
                <w:bCs/>
                <w:color w:val="FFFFFF"/>
                <w:sz w:val="20"/>
                <w:szCs w:val="20"/>
                <w:lang w:eastAsia="en-US"/>
              </w:rPr>
            </w:pPr>
            <w:r w:rsidRPr="003506E5">
              <w:rPr>
                <w:rFonts w:eastAsia="Times New Roman"/>
                <w:b/>
                <w:bCs/>
                <w:sz w:val="20"/>
                <w:szCs w:val="20"/>
                <w:lang w:eastAsia="en-US"/>
              </w:rPr>
              <w:t>Percentage Achieved</w:t>
            </w:r>
          </w:p>
        </w:tc>
      </w:tr>
      <w:tr w:rsidR="00813E89" w:rsidRPr="003506E5" w14:paraId="76B9ED5E" w14:textId="77777777" w:rsidTr="003B12E3">
        <w:trPr>
          <w:trHeight w:val="530"/>
        </w:trPr>
        <w:tc>
          <w:tcPr>
            <w:tcW w:w="2600" w:type="dxa"/>
            <w:vMerge/>
            <w:tcBorders>
              <w:top w:val="nil"/>
              <w:left w:val="single" w:sz="8" w:space="0" w:color="45A7E1"/>
              <w:bottom w:val="single" w:sz="8" w:space="0" w:color="45A7E1"/>
              <w:right w:val="single" w:sz="8" w:space="0" w:color="45A7E1"/>
            </w:tcBorders>
            <w:vAlign w:val="center"/>
            <w:hideMark/>
          </w:tcPr>
          <w:p w14:paraId="303255D6" w14:textId="77777777" w:rsidR="00813E89" w:rsidRPr="003506E5" w:rsidRDefault="00813E89" w:rsidP="00813E89">
            <w:pPr>
              <w:spacing w:after="0" w:line="240" w:lineRule="auto"/>
              <w:rPr>
                <w:rFonts w:eastAsia="Times New Roman"/>
                <w:b/>
                <w:bCs/>
                <w:color w:val="0B1F51"/>
                <w:sz w:val="20"/>
                <w:szCs w:val="20"/>
                <w:lang w:eastAsia="en-US"/>
              </w:rPr>
            </w:pPr>
          </w:p>
        </w:tc>
        <w:tc>
          <w:tcPr>
            <w:tcW w:w="1349" w:type="dxa"/>
            <w:tcBorders>
              <w:top w:val="nil"/>
              <w:left w:val="nil"/>
              <w:bottom w:val="single" w:sz="8" w:space="0" w:color="45A7E1"/>
              <w:right w:val="single" w:sz="8" w:space="0" w:color="45A7E1"/>
            </w:tcBorders>
            <w:shd w:val="clear" w:color="000000" w:fill="0A1F50"/>
            <w:vAlign w:val="center"/>
            <w:hideMark/>
          </w:tcPr>
          <w:p w14:paraId="1613BB6D" w14:textId="77777777" w:rsidR="00813E89" w:rsidRPr="003506E5" w:rsidRDefault="00813E89" w:rsidP="00813E89">
            <w:pPr>
              <w:spacing w:after="0" w:line="240" w:lineRule="auto"/>
              <w:jc w:val="center"/>
              <w:rPr>
                <w:rFonts w:eastAsia="Times New Roman"/>
                <w:b/>
                <w:bCs/>
                <w:color w:val="FFFFFF"/>
                <w:sz w:val="20"/>
                <w:szCs w:val="20"/>
                <w:lang w:eastAsia="en-US"/>
              </w:rPr>
            </w:pPr>
            <w:r w:rsidRPr="003506E5">
              <w:rPr>
                <w:rFonts w:eastAsia="Times New Roman"/>
                <w:b/>
                <w:bCs/>
                <w:sz w:val="20"/>
                <w:szCs w:val="20"/>
                <w:lang w:eastAsia="en-US"/>
              </w:rPr>
              <w:t>Households</w:t>
            </w:r>
          </w:p>
        </w:tc>
        <w:tc>
          <w:tcPr>
            <w:tcW w:w="1250" w:type="dxa"/>
            <w:tcBorders>
              <w:top w:val="nil"/>
              <w:left w:val="nil"/>
              <w:bottom w:val="single" w:sz="8" w:space="0" w:color="45A7E1"/>
              <w:right w:val="single" w:sz="8" w:space="0" w:color="45A7E1"/>
            </w:tcBorders>
            <w:shd w:val="clear" w:color="000000" w:fill="0A1F50"/>
            <w:vAlign w:val="center"/>
            <w:hideMark/>
          </w:tcPr>
          <w:p w14:paraId="0E09FF6B" w14:textId="77777777" w:rsidR="00813E89" w:rsidRPr="003506E5" w:rsidRDefault="00813E89" w:rsidP="00813E89">
            <w:pPr>
              <w:spacing w:after="0" w:line="240" w:lineRule="auto"/>
              <w:jc w:val="center"/>
              <w:rPr>
                <w:rFonts w:eastAsia="Times New Roman"/>
                <w:b/>
                <w:bCs/>
                <w:color w:val="FFFFFF"/>
                <w:sz w:val="20"/>
                <w:szCs w:val="20"/>
                <w:lang w:eastAsia="en-US"/>
              </w:rPr>
            </w:pPr>
            <w:r w:rsidRPr="003506E5">
              <w:rPr>
                <w:rFonts w:eastAsia="Times New Roman"/>
                <w:b/>
                <w:bCs/>
                <w:sz w:val="20"/>
                <w:szCs w:val="20"/>
                <w:lang w:eastAsia="en-US"/>
              </w:rPr>
              <w:t>Population</w:t>
            </w:r>
          </w:p>
        </w:tc>
        <w:tc>
          <w:tcPr>
            <w:tcW w:w="1361" w:type="dxa"/>
            <w:tcBorders>
              <w:top w:val="nil"/>
              <w:left w:val="nil"/>
              <w:bottom w:val="single" w:sz="8" w:space="0" w:color="45A7E1"/>
              <w:right w:val="single" w:sz="8" w:space="0" w:color="45A7E1"/>
            </w:tcBorders>
            <w:shd w:val="clear" w:color="000000" w:fill="0A1F50"/>
            <w:vAlign w:val="center"/>
            <w:hideMark/>
          </w:tcPr>
          <w:p w14:paraId="309875E7" w14:textId="77777777" w:rsidR="00813E89" w:rsidRPr="003506E5" w:rsidRDefault="00813E89" w:rsidP="00813E89">
            <w:pPr>
              <w:spacing w:after="0" w:line="240" w:lineRule="auto"/>
              <w:jc w:val="center"/>
              <w:rPr>
                <w:rFonts w:eastAsia="Times New Roman"/>
                <w:b/>
                <w:bCs/>
                <w:color w:val="FFFFFF"/>
                <w:sz w:val="20"/>
                <w:szCs w:val="20"/>
                <w:lang w:eastAsia="en-US"/>
              </w:rPr>
            </w:pPr>
            <w:r w:rsidRPr="003506E5">
              <w:rPr>
                <w:rFonts w:eastAsia="Times New Roman"/>
                <w:b/>
                <w:bCs/>
                <w:sz w:val="20"/>
                <w:szCs w:val="20"/>
                <w:lang w:eastAsia="en-US"/>
              </w:rPr>
              <w:t>Households</w:t>
            </w:r>
          </w:p>
        </w:tc>
        <w:tc>
          <w:tcPr>
            <w:tcW w:w="1265" w:type="dxa"/>
            <w:tcBorders>
              <w:top w:val="nil"/>
              <w:left w:val="nil"/>
              <w:bottom w:val="single" w:sz="8" w:space="0" w:color="45A7E1"/>
              <w:right w:val="single" w:sz="8" w:space="0" w:color="45A7E1"/>
            </w:tcBorders>
            <w:shd w:val="clear" w:color="000000" w:fill="0A1F50"/>
            <w:vAlign w:val="center"/>
            <w:hideMark/>
          </w:tcPr>
          <w:p w14:paraId="63EFE413" w14:textId="77777777" w:rsidR="00813E89" w:rsidRPr="003506E5" w:rsidRDefault="00813E89" w:rsidP="00813E89">
            <w:pPr>
              <w:spacing w:after="0" w:line="240" w:lineRule="auto"/>
              <w:jc w:val="center"/>
              <w:rPr>
                <w:rFonts w:eastAsia="Times New Roman"/>
                <w:b/>
                <w:bCs/>
                <w:color w:val="FFFFFF"/>
                <w:sz w:val="20"/>
                <w:szCs w:val="20"/>
                <w:lang w:eastAsia="en-US"/>
              </w:rPr>
            </w:pPr>
            <w:r w:rsidRPr="003506E5">
              <w:rPr>
                <w:rFonts w:eastAsia="Times New Roman"/>
                <w:b/>
                <w:bCs/>
                <w:sz w:val="20"/>
                <w:szCs w:val="20"/>
                <w:lang w:eastAsia="en-US"/>
              </w:rPr>
              <w:t>Population</w:t>
            </w:r>
          </w:p>
        </w:tc>
        <w:tc>
          <w:tcPr>
            <w:tcW w:w="1295" w:type="dxa"/>
            <w:vMerge/>
            <w:tcBorders>
              <w:top w:val="nil"/>
              <w:left w:val="single" w:sz="8" w:space="0" w:color="45A7E1"/>
              <w:bottom w:val="single" w:sz="8" w:space="0" w:color="45A7E1"/>
              <w:right w:val="single" w:sz="8" w:space="0" w:color="45A7E1"/>
            </w:tcBorders>
            <w:vAlign w:val="center"/>
            <w:hideMark/>
          </w:tcPr>
          <w:p w14:paraId="050D9FD9" w14:textId="77777777" w:rsidR="00813E89" w:rsidRPr="003506E5" w:rsidRDefault="00813E89" w:rsidP="00813E89">
            <w:pPr>
              <w:spacing w:after="0" w:line="240" w:lineRule="auto"/>
              <w:rPr>
                <w:rFonts w:eastAsia="Times New Roman"/>
                <w:b/>
                <w:bCs/>
                <w:color w:val="FFFFFF"/>
                <w:sz w:val="20"/>
                <w:szCs w:val="20"/>
                <w:lang w:eastAsia="en-US"/>
              </w:rPr>
            </w:pPr>
          </w:p>
        </w:tc>
      </w:tr>
      <w:tr w:rsidR="003B12E3" w:rsidRPr="003506E5" w14:paraId="40DB8830" w14:textId="77777777" w:rsidTr="003B12E3">
        <w:trPr>
          <w:trHeight w:val="646"/>
        </w:trPr>
        <w:tc>
          <w:tcPr>
            <w:tcW w:w="2600" w:type="dxa"/>
            <w:tcBorders>
              <w:top w:val="single" w:sz="8" w:space="0" w:color="45A7E1"/>
              <w:left w:val="single" w:sz="8" w:space="0" w:color="45A7E1"/>
              <w:bottom w:val="single" w:sz="8" w:space="0" w:color="45A7E1"/>
              <w:right w:val="single" w:sz="8" w:space="0" w:color="45A7E1"/>
            </w:tcBorders>
            <w:shd w:val="clear" w:color="000000" w:fill="DBE4ED"/>
            <w:vAlign w:val="center"/>
            <w:hideMark/>
          </w:tcPr>
          <w:p w14:paraId="55D42F6D" w14:textId="69D05F20" w:rsidR="003B12E3" w:rsidRPr="003506E5" w:rsidRDefault="003B12E3" w:rsidP="0062709B">
            <w:pPr>
              <w:spacing w:after="0" w:line="240" w:lineRule="auto"/>
              <w:rPr>
                <w:rFonts w:eastAsia="Times New Roman"/>
                <w:b/>
                <w:bCs/>
                <w:color w:val="0B1F51"/>
                <w:sz w:val="20"/>
                <w:szCs w:val="20"/>
                <w:lang w:eastAsia="en-US"/>
              </w:rPr>
            </w:pPr>
            <w:r w:rsidRPr="003506E5">
              <w:rPr>
                <w:rFonts w:eastAsia="Times New Roman"/>
                <w:b/>
                <w:bCs/>
                <w:color w:val="0B1F51"/>
                <w:sz w:val="20"/>
                <w:szCs w:val="20"/>
                <w:lang w:eastAsia="en-US"/>
              </w:rPr>
              <w:t xml:space="preserve">Insured from eligible population                                           </w:t>
            </w:r>
          </w:p>
        </w:tc>
        <w:tc>
          <w:tcPr>
            <w:tcW w:w="1349" w:type="dxa"/>
            <w:tcBorders>
              <w:top w:val="nil"/>
              <w:left w:val="single" w:sz="8" w:space="0" w:color="45A7E1"/>
              <w:bottom w:val="single" w:sz="8" w:space="0" w:color="45A7E1"/>
              <w:right w:val="single" w:sz="8" w:space="0" w:color="45A7E1"/>
            </w:tcBorders>
            <w:shd w:val="clear" w:color="000000" w:fill="DBE4ED"/>
            <w:vAlign w:val="center"/>
            <w:hideMark/>
          </w:tcPr>
          <w:p w14:paraId="482C413D" w14:textId="77777777" w:rsidR="003B12E3" w:rsidRPr="003506E5" w:rsidRDefault="003B12E3" w:rsidP="003B12E3">
            <w:pPr>
              <w:spacing w:after="0" w:line="240" w:lineRule="auto"/>
              <w:jc w:val="center"/>
              <w:rPr>
                <w:rFonts w:eastAsia="Times New Roman"/>
                <w:color w:val="0B1F51"/>
                <w:sz w:val="20"/>
                <w:szCs w:val="20"/>
                <w:lang w:eastAsia="en-US"/>
              </w:rPr>
            </w:pPr>
            <w:r w:rsidRPr="003506E5">
              <w:rPr>
                <w:rFonts w:eastAsia="Times New Roman"/>
                <w:color w:val="0B1F51"/>
                <w:sz w:val="20"/>
                <w:szCs w:val="20"/>
                <w:lang w:eastAsia="en-US"/>
              </w:rPr>
              <w:t>5480</w:t>
            </w:r>
          </w:p>
        </w:tc>
        <w:tc>
          <w:tcPr>
            <w:tcW w:w="1250" w:type="dxa"/>
            <w:tcBorders>
              <w:top w:val="nil"/>
              <w:left w:val="single" w:sz="8" w:space="0" w:color="45A7E1"/>
              <w:bottom w:val="single" w:sz="8" w:space="0" w:color="45A7E1"/>
              <w:right w:val="single" w:sz="8" w:space="0" w:color="45A7E1"/>
            </w:tcBorders>
            <w:shd w:val="clear" w:color="000000" w:fill="DBE4ED"/>
            <w:vAlign w:val="center"/>
            <w:hideMark/>
          </w:tcPr>
          <w:p w14:paraId="64CF966D" w14:textId="77777777" w:rsidR="003B12E3" w:rsidRPr="003506E5" w:rsidRDefault="003B12E3" w:rsidP="003B12E3">
            <w:pPr>
              <w:spacing w:after="0" w:line="240" w:lineRule="auto"/>
              <w:jc w:val="center"/>
              <w:rPr>
                <w:rFonts w:eastAsia="Times New Roman"/>
                <w:color w:val="0B1F51"/>
                <w:sz w:val="20"/>
                <w:szCs w:val="20"/>
                <w:lang w:eastAsia="en-US"/>
              </w:rPr>
            </w:pPr>
            <w:r w:rsidRPr="003506E5">
              <w:rPr>
                <w:rFonts w:eastAsia="Times New Roman"/>
                <w:color w:val="0B1F51"/>
                <w:sz w:val="20"/>
                <w:szCs w:val="20"/>
                <w:lang w:eastAsia="en-US"/>
              </w:rPr>
              <w:t>38360</w:t>
            </w:r>
          </w:p>
        </w:tc>
        <w:tc>
          <w:tcPr>
            <w:tcW w:w="1361" w:type="dxa"/>
            <w:tcBorders>
              <w:top w:val="nil"/>
              <w:left w:val="single" w:sz="8" w:space="0" w:color="45A7E1"/>
              <w:bottom w:val="single" w:sz="8" w:space="0" w:color="45A7E1"/>
              <w:right w:val="single" w:sz="8" w:space="0" w:color="45A7E1"/>
            </w:tcBorders>
            <w:shd w:val="clear" w:color="000000" w:fill="DBE4ED"/>
            <w:vAlign w:val="center"/>
            <w:hideMark/>
          </w:tcPr>
          <w:p w14:paraId="0ACAC890" w14:textId="77777777" w:rsidR="003B12E3" w:rsidRPr="003506E5" w:rsidRDefault="003B12E3" w:rsidP="003B12E3">
            <w:pPr>
              <w:spacing w:after="0" w:line="240" w:lineRule="auto"/>
              <w:jc w:val="center"/>
              <w:rPr>
                <w:rFonts w:eastAsia="Times New Roman"/>
                <w:color w:val="0B1F51"/>
                <w:sz w:val="20"/>
                <w:szCs w:val="20"/>
                <w:lang w:eastAsia="en-US"/>
              </w:rPr>
            </w:pPr>
            <w:r w:rsidRPr="003506E5">
              <w:rPr>
                <w:rFonts w:eastAsia="Times New Roman"/>
                <w:color w:val="0B1F51"/>
                <w:sz w:val="20"/>
                <w:szCs w:val="20"/>
                <w:lang w:eastAsia="en-US"/>
              </w:rPr>
              <w:t>5340</w:t>
            </w:r>
          </w:p>
        </w:tc>
        <w:tc>
          <w:tcPr>
            <w:tcW w:w="1265" w:type="dxa"/>
            <w:tcBorders>
              <w:top w:val="nil"/>
              <w:left w:val="single" w:sz="8" w:space="0" w:color="45A7E1"/>
              <w:bottom w:val="single" w:sz="8" w:space="0" w:color="45A7E1"/>
              <w:right w:val="single" w:sz="8" w:space="0" w:color="45A7E1"/>
            </w:tcBorders>
            <w:shd w:val="clear" w:color="000000" w:fill="DBE4ED"/>
            <w:vAlign w:val="center"/>
            <w:hideMark/>
          </w:tcPr>
          <w:p w14:paraId="207D048C" w14:textId="77777777" w:rsidR="003B12E3" w:rsidRPr="003506E5" w:rsidRDefault="003B12E3" w:rsidP="003B12E3">
            <w:pPr>
              <w:spacing w:after="0" w:line="240" w:lineRule="auto"/>
              <w:jc w:val="center"/>
              <w:rPr>
                <w:rFonts w:eastAsia="Times New Roman"/>
                <w:color w:val="0B1F51"/>
                <w:sz w:val="20"/>
                <w:szCs w:val="20"/>
                <w:lang w:eastAsia="en-US"/>
              </w:rPr>
            </w:pPr>
            <w:r w:rsidRPr="003506E5">
              <w:rPr>
                <w:rFonts w:eastAsia="Times New Roman"/>
                <w:color w:val="0B1F51"/>
                <w:sz w:val="20"/>
                <w:szCs w:val="20"/>
                <w:lang w:eastAsia="en-US"/>
              </w:rPr>
              <w:t>35667</w:t>
            </w:r>
          </w:p>
        </w:tc>
        <w:tc>
          <w:tcPr>
            <w:tcW w:w="1295" w:type="dxa"/>
            <w:tcBorders>
              <w:top w:val="nil"/>
              <w:left w:val="single" w:sz="8" w:space="0" w:color="45A7E1"/>
              <w:bottom w:val="single" w:sz="8" w:space="0" w:color="45A7E1"/>
              <w:right w:val="single" w:sz="8" w:space="0" w:color="45A7E1"/>
            </w:tcBorders>
            <w:shd w:val="clear" w:color="000000" w:fill="DBE4ED"/>
            <w:vAlign w:val="center"/>
            <w:hideMark/>
          </w:tcPr>
          <w:p w14:paraId="7724263A" w14:textId="77777777" w:rsidR="003B12E3" w:rsidRPr="003506E5" w:rsidRDefault="003B12E3" w:rsidP="003B12E3">
            <w:pPr>
              <w:spacing w:after="0" w:line="240" w:lineRule="auto"/>
              <w:jc w:val="center"/>
              <w:rPr>
                <w:rFonts w:eastAsia="Times New Roman"/>
                <w:color w:val="0B1F51"/>
                <w:sz w:val="20"/>
                <w:szCs w:val="20"/>
                <w:lang w:eastAsia="en-US"/>
              </w:rPr>
            </w:pPr>
            <w:r w:rsidRPr="003506E5">
              <w:rPr>
                <w:rFonts w:eastAsia="Times New Roman"/>
                <w:color w:val="0B1F51"/>
                <w:sz w:val="20"/>
                <w:szCs w:val="20"/>
                <w:lang w:eastAsia="en-US"/>
              </w:rPr>
              <w:t>97%</w:t>
            </w:r>
          </w:p>
        </w:tc>
      </w:tr>
      <w:tr w:rsidR="00813E89" w:rsidRPr="003506E5" w14:paraId="0A7E8195" w14:textId="77777777" w:rsidTr="003B12E3">
        <w:trPr>
          <w:trHeight w:val="530"/>
        </w:trPr>
        <w:tc>
          <w:tcPr>
            <w:tcW w:w="2588" w:type="dxa"/>
            <w:tcBorders>
              <w:top w:val="single" w:sz="8" w:space="0" w:color="45A7E1"/>
              <w:left w:val="single" w:sz="8" w:space="0" w:color="45A7E1"/>
              <w:bottom w:val="single" w:sz="8" w:space="0" w:color="45A7E1"/>
              <w:right w:val="single" w:sz="8" w:space="0" w:color="45A7E1"/>
            </w:tcBorders>
            <w:shd w:val="clear" w:color="000000" w:fill="DBE4ED"/>
            <w:vAlign w:val="center"/>
            <w:hideMark/>
          </w:tcPr>
          <w:p w14:paraId="0E1D0B3D" w14:textId="77777777" w:rsidR="00813E89" w:rsidRPr="003506E5" w:rsidRDefault="00813E89" w:rsidP="0062709B">
            <w:pPr>
              <w:spacing w:after="0" w:line="240" w:lineRule="auto"/>
              <w:rPr>
                <w:rFonts w:eastAsia="Times New Roman"/>
                <w:b/>
                <w:bCs/>
                <w:color w:val="0B1F51"/>
                <w:sz w:val="20"/>
                <w:szCs w:val="20"/>
                <w:lang w:eastAsia="en-US"/>
              </w:rPr>
            </w:pPr>
            <w:r w:rsidRPr="003506E5">
              <w:rPr>
                <w:rFonts w:eastAsia="Times New Roman"/>
                <w:b/>
                <w:bCs/>
                <w:color w:val="0B1F51"/>
                <w:sz w:val="20"/>
                <w:szCs w:val="20"/>
                <w:lang w:eastAsia="en-US"/>
              </w:rPr>
              <w:t>Insured from wider population</w:t>
            </w:r>
          </w:p>
        </w:tc>
        <w:tc>
          <w:tcPr>
            <w:tcW w:w="1361" w:type="dxa"/>
            <w:tcBorders>
              <w:top w:val="nil"/>
              <w:left w:val="nil"/>
              <w:bottom w:val="single" w:sz="8" w:space="0" w:color="45A7E1"/>
              <w:right w:val="single" w:sz="8" w:space="0" w:color="45A7E1"/>
            </w:tcBorders>
            <w:shd w:val="clear" w:color="000000" w:fill="DBE4ED"/>
            <w:vAlign w:val="center"/>
            <w:hideMark/>
          </w:tcPr>
          <w:p w14:paraId="0B44E207" w14:textId="77777777" w:rsidR="00813E89" w:rsidRPr="003506E5" w:rsidRDefault="00813E89" w:rsidP="00813E89">
            <w:pPr>
              <w:spacing w:after="0" w:line="240" w:lineRule="auto"/>
              <w:jc w:val="center"/>
              <w:rPr>
                <w:rFonts w:eastAsia="Times New Roman"/>
                <w:color w:val="000000"/>
                <w:sz w:val="20"/>
                <w:szCs w:val="20"/>
                <w:lang w:eastAsia="en-US"/>
              </w:rPr>
            </w:pPr>
            <w:r w:rsidRPr="003506E5">
              <w:rPr>
                <w:rFonts w:eastAsia="Times New Roman"/>
                <w:sz w:val="20"/>
                <w:szCs w:val="20"/>
                <w:lang w:eastAsia="en-US"/>
              </w:rPr>
              <w:t>7567</w:t>
            </w:r>
          </w:p>
        </w:tc>
        <w:tc>
          <w:tcPr>
            <w:tcW w:w="1250" w:type="dxa"/>
            <w:tcBorders>
              <w:top w:val="nil"/>
              <w:left w:val="nil"/>
              <w:bottom w:val="single" w:sz="8" w:space="0" w:color="45A7E1"/>
              <w:right w:val="single" w:sz="8" w:space="0" w:color="45A7E1"/>
            </w:tcBorders>
            <w:shd w:val="clear" w:color="000000" w:fill="DBE4ED"/>
            <w:vAlign w:val="center"/>
            <w:hideMark/>
          </w:tcPr>
          <w:p w14:paraId="6C9FE93A" w14:textId="77777777" w:rsidR="00813E89" w:rsidRPr="003506E5" w:rsidRDefault="00813E89" w:rsidP="00813E89">
            <w:pPr>
              <w:spacing w:after="0" w:line="240" w:lineRule="auto"/>
              <w:jc w:val="center"/>
              <w:rPr>
                <w:rFonts w:eastAsia="Times New Roman"/>
                <w:color w:val="000000"/>
                <w:sz w:val="20"/>
                <w:szCs w:val="20"/>
                <w:lang w:eastAsia="en-US"/>
              </w:rPr>
            </w:pPr>
            <w:r w:rsidRPr="003506E5">
              <w:rPr>
                <w:rFonts w:eastAsia="Times New Roman"/>
                <w:sz w:val="20"/>
                <w:szCs w:val="20"/>
                <w:lang w:eastAsia="en-US"/>
              </w:rPr>
              <w:t>52973</w:t>
            </w:r>
          </w:p>
        </w:tc>
        <w:tc>
          <w:tcPr>
            <w:tcW w:w="1361" w:type="dxa"/>
            <w:tcBorders>
              <w:top w:val="nil"/>
              <w:left w:val="nil"/>
              <w:bottom w:val="single" w:sz="8" w:space="0" w:color="45A7E1"/>
              <w:right w:val="single" w:sz="8" w:space="0" w:color="45A7E1"/>
            </w:tcBorders>
            <w:shd w:val="clear" w:color="000000" w:fill="DBE4ED"/>
            <w:vAlign w:val="center"/>
            <w:hideMark/>
          </w:tcPr>
          <w:p w14:paraId="4DC3493C" w14:textId="77777777" w:rsidR="00813E89" w:rsidRPr="003506E5" w:rsidRDefault="00813E89" w:rsidP="00813E89">
            <w:pPr>
              <w:spacing w:after="0" w:line="240" w:lineRule="auto"/>
              <w:jc w:val="center"/>
              <w:rPr>
                <w:rFonts w:eastAsia="Times New Roman"/>
                <w:color w:val="000000"/>
                <w:sz w:val="20"/>
                <w:szCs w:val="20"/>
                <w:lang w:eastAsia="en-US"/>
              </w:rPr>
            </w:pPr>
            <w:r w:rsidRPr="003506E5">
              <w:rPr>
                <w:rFonts w:eastAsia="Times New Roman"/>
                <w:sz w:val="20"/>
                <w:szCs w:val="20"/>
                <w:lang w:eastAsia="en-US"/>
              </w:rPr>
              <w:t>7701</w:t>
            </w:r>
          </w:p>
        </w:tc>
        <w:tc>
          <w:tcPr>
            <w:tcW w:w="1265" w:type="dxa"/>
            <w:tcBorders>
              <w:top w:val="nil"/>
              <w:left w:val="nil"/>
              <w:bottom w:val="single" w:sz="8" w:space="0" w:color="45A7E1"/>
              <w:right w:val="single" w:sz="8" w:space="0" w:color="45A7E1"/>
            </w:tcBorders>
            <w:shd w:val="clear" w:color="000000" w:fill="DBE4ED"/>
            <w:vAlign w:val="center"/>
            <w:hideMark/>
          </w:tcPr>
          <w:p w14:paraId="57DD63AE" w14:textId="77777777" w:rsidR="00813E89" w:rsidRPr="003506E5" w:rsidRDefault="00813E89" w:rsidP="00813E89">
            <w:pPr>
              <w:spacing w:after="0" w:line="240" w:lineRule="auto"/>
              <w:jc w:val="center"/>
              <w:rPr>
                <w:rFonts w:eastAsia="Times New Roman"/>
                <w:color w:val="000000"/>
                <w:sz w:val="20"/>
                <w:szCs w:val="20"/>
                <w:lang w:eastAsia="en-US"/>
              </w:rPr>
            </w:pPr>
            <w:r w:rsidRPr="003506E5">
              <w:rPr>
                <w:rFonts w:eastAsia="Times New Roman"/>
                <w:sz w:val="20"/>
                <w:szCs w:val="20"/>
                <w:lang w:eastAsia="en-US"/>
              </w:rPr>
              <w:t>37808</w:t>
            </w:r>
          </w:p>
        </w:tc>
        <w:tc>
          <w:tcPr>
            <w:tcW w:w="1295" w:type="dxa"/>
            <w:tcBorders>
              <w:top w:val="nil"/>
              <w:left w:val="nil"/>
              <w:bottom w:val="single" w:sz="8" w:space="0" w:color="45A7E1"/>
              <w:right w:val="single" w:sz="8" w:space="0" w:color="45A7E1"/>
            </w:tcBorders>
            <w:shd w:val="clear" w:color="000000" w:fill="DBE4ED"/>
            <w:vAlign w:val="center"/>
            <w:hideMark/>
          </w:tcPr>
          <w:p w14:paraId="6345DEBA" w14:textId="77777777" w:rsidR="00813E89" w:rsidRPr="003506E5" w:rsidRDefault="00813E89" w:rsidP="00813E89">
            <w:pPr>
              <w:spacing w:after="0" w:line="240" w:lineRule="auto"/>
              <w:jc w:val="center"/>
              <w:rPr>
                <w:rFonts w:eastAsia="Times New Roman"/>
                <w:color w:val="000000"/>
                <w:sz w:val="20"/>
                <w:szCs w:val="20"/>
                <w:lang w:eastAsia="en-US"/>
              </w:rPr>
            </w:pPr>
            <w:r w:rsidRPr="003506E5">
              <w:rPr>
                <w:rFonts w:eastAsia="Times New Roman"/>
                <w:sz w:val="20"/>
                <w:szCs w:val="20"/>
                <w:lang w:eastAsia="en-US"/>
              </w:rPr>
              <w:t>102%</w:t>
            </w:r>
          </w:p>
        </w:tc>
      </w:tr>
    </w:tbl>
    <w:p w14:paraId="2DF508E9" w14:textId="5275CF9D" w:rsidR="00813E89" w:rsidRPr="003506E5" w:rsidRDefault="00813E89" w:rsidP="00813E89">
      <w:pPr>
        <w:pStyle w:val="BodyText"/>
        <w:rPr>
          <w:lang w:eastAsia="en-US"/>
        </w:rPr>
      </w:pPr>
    </w:p>
    <w:p w14:paraId="42295FA9" w14:textId="77777777" w:rsidR="005F5304" w:rsidRPr="003506E5" w:rsidRDefault="005F5304" w:rsidP="005F5304">
      <w:pPr>
        <w:pStyle w:val="Heading3"/>
        <w:rPr>
          <w:rFonts w:eastAsia="Times New Roman" w:cs="Times New Roman"/>
          <w:kern w:val="32"/>
          <w:sz w:val="24"/>
          <w:szCs w:val="24"/>
        </w:rPr>
      </w:pPr>
      <w:bookmarkStart w:id="23" w:name="_Toc57215280"/>
      <w:r w:rsidRPr="003506E5">
        <w:rPr>
          <w:rFonts w:eastAsia="Times New Roman" w:cs="Times New Roman"/>
          <w:kern w:val="32"/>
          <w:sz w:val="24"/>
          <w:szCs w:val="24"/>
        </w:rPr>
        <w:t xml:space="preserve">Extension of Phase-I of SHPI in </w:t>
      </w:r>
      <w:r w:rsidR="002E3BC6" w:rsidRPr="003506E5">
        <w:rPr>
          <w:rFonts w:eastAsia="Times New Roman" w:cs="Times New Roman"/>
          <w:kern w:val="32"/>
          <w:sz w:val="24"/>
          <w:szCs w:val="24"/>
        </w:rPr>
        <w:t>GB</w:t>
      </w:r>
      <w:bookmarkEnd w:id="23"/>
    </w:p>
    <w:p w14:paraId="213350ED" w14:textId="26D6FB8E" w:rsidR="00E42624" w:rsidRPr="003506E5" w:rsidRDefault="003B12E3" w:rsidP="003B12E3">
      <w:pPr>
        <w:pStyle w:val="BodyText"/>
      </w:pPr>
      <w:r w:rsidRPr="003506E5">
        <w:t xml:space="preserve">Upon request of Government of GB and having a series of meetings with it, KfW agreed on extending the phase-1 of SHPI in Gilgit district. </w:t>
      </w:r>
      <w:r w:rsidR="00E42624" w:rsidRPr="003506E5">
        <w:t xml:space="preserve">A Separate Agreement was signed on August 18, 2019 between KfW and Department of Health, Gilgit Baltistan on financial support for allocating financial resources for extension of Phase-I for two years i.e. from August 2021 to July 2023. During this extended phase tertiary level services will also be included in the benefit package of health insurance under SHPI in Gilgit district and coverage will also be extended to population living up to 32.5 PMT Score. </w:t>
      </w:r>
    </w:p>
    <w:p w14:paraId="48B44C25" w14:textId="4BE380CD" w:rsidR="00E42624" w:rsidRPr="003506E5" w:rsidRDefault="00E42624" w:rsidP="00E42624">
      <w:pPr>
        <w:pStyle w:val="BodyText"/>
      </w:pPr>
      <w:r w:rsidRPr="003506E5">
        <w:t>OPD services will also be piloted with KfW financial support during this extended phase. A new PC-1 was developed for implementation of the scheme for the extended period of three years. In this PC-1 the Government of GB committed allocation of additional funding from its own resources for paying 100% of premium of population below 32.5 PMT score during year-3 of the scheme. This PC-1, after approvals at GB level, was submitted to Planning Commission of Pakistan</w:t>
      </w:r>
      <w:r w:rsidR="00F01393" w:rsidRPr="003506E5">
        <w:t xml:space="preserve"> (PCP)</w:t>
      </w:r>
      <w:r w:rsidRPr="003506E5">
        <w:t xml:space="preserve"> for approval of Federal authorities. The Planning Commission raised a few queries on the PC-1, OPM worked with PMU-GB in responding to those queries.</w:t>
      </w:r>
    </w:p>
    <w:p w14:paraId="47D9FC2F" w14:textId="77777777" w:rsidR="00E42624" w:rsidRPr="003506E5" w:rsidRDefault="00E42624" w:rsidP="00E42624">
      <w:pPr>
        <w:pStyle w:val="BodyText"/>
      </w:pPr>
      <w:r w:rsidRPr="003506E5">
        <w:t xml:space="preserve">A Pre-Central Development Working Party (CDWP) meeting was held in last week of July 2020 and Planning Commission decided to convene a joint meeting of SHPI and Federal Sehat Sahulat programme in Islamabad to develop a consensus on some of the features given in SHPI revised PC-1 during the second half of August 2020 before the CDWP meeting. </w:t>
      </w:r>
    </w:p>
    <w:p w14:paraId="10AC81A0" w14:textId="291D5D8D" w:rsidR="00E42624" w:rsidRPr="003506E5" w:rsidRDefault="00E42624" w:rsidP="00F01393">
      <w:pPr>
        <w:pStyle w:val="BodyText"/>
      </w:pPr>
      <w:r w:rsidRPr="003506E5">
        <w:rPr>
          <w:b/>
          <w:bCs/>
        </w:rPr>
        <w:lastRenderedPageBreak/>
        <w:t xml:space="preserve">The </w:t>
      </w:r>
      <w:r w:rsidR="00F01393" w:rsidRPr="003506E5">
        <w:rPr>
          <w:b/>
          <w:bCs/>
        </w:rPr>
        <w:t xml:space="preserve">updated status of </w:t>
      </w:r>
      <w:r w:rsidRPr="003506E5">
        <w:rPr>
          <w:b/>
          <w:bCs/>
        </w:rPr>
        <w:t>PC</w:t>
      </w:r>
      <w:r w:rsidR="002F2B5E" w:rsidRPr="003506E5">
        <w:rPr>
          <w:b/>
          <w:bCs/>
        </w:rPr>
        <w:t>1</w:t>
      </w:r>
      <w:r w:rsidRPr="003506E5">
        <w:rPr>
          <w:b/>
          <w:bCs/>
        </w:rPr>
        <w:t xml:space="preserve"> of the Phase</w:t>
      </w:r>
      <w:r w:rsidR="002F2B5E" w:rsidRPr="003506E5">
        <w:rPr>
          <w:b/>
          <w:bCs/>
        </w:rPr>
        <w:t>-II</w:t>
      </w:r>
      <w:r w:rsidR="00F01393" w:rsidRPr="003506E5">
        <w:t xml:space="preserve"> (Feb 2021)</w:t>
      </w:r>
      <w:r w:rsidRPr="003506E5">
        <w:t xml:space="preserve">: </w:t>
      </w:r>
      <w:r w:rsidR="00F01393" w:rsidRPr="003506E5">
        <w:t>PCP asked two sectoral specialists for reviewing the PC-1 and both specialists have raised few more queries. PMU and OPM is currently working on addressing these queries. I</w:t>
      </w:r>
      <w:r w:rsidR="002F2B5E" w:rsidRPr="003506E5">
        <w:t>t</w:t>
      </w:r>
      <w:r w:rsidRPr="003506E5">
        <w:t xml:space="preserve"> is expected </w:t>
      </w:r>
      <w:r w:rsidR="002F2B5E" w:rsidRPr="003506E5">
        <w:t xml:space="preserve">that the PC-1 will be </w:t>
      </w:r>
      <w:r w:rsidRPr="003506E5">
        <w:t xml:space="preserve">presented in CDWP during </w:t>
      </w:r>
      <w:r w:rsidR="00F01393" w:rsidRPr="003506E5">
        <w:t xml:space="preserve">second half of </w:t>
      </w:r>
      <w:r w:rsidR="00F150ED" w:rsidRPr="003506E5">
        <w:t>February 2021</w:t>
      </w:r>
      <w:r w:rsidRPr="003506E5">
        <w:t xml:space="preserve"> for approval. </w:t>
      </w:r>
    </w:p>
    <w:p w14:paraId="7303AD86" w14:textId="55C666F6" w:rsidR="005F5304" w:rsidRPr="003506E5" w:rsidRDefault="00E42624" w:rsidP="002F2B5E">
      <w:pPr>
        <w:pStyle w:val="BodyText"/>
      </w:pPr>
      <w:r w:rsidRPr="003506E5">
        <w:t xml:space="preserve">The PMU-GB expects that after approval of PC-1 and concluding tendering process, the services under the Extension Phase can be started from </w:t>
      </w:r>
      <w:r w:rsidR="002F2B5E" w:rsidRPr="003506E5">
        <w:t>August</w:t>
      </w:r>
      <w:r w:rsidRPr="003506E5">
        <w:t xml:space="preserve"> 2021 </w:t>
      </w:r>
      <w:r w:rsidR="002F2B5E" w:rsidRPr="003506E5">
        <w:t>after conclusion of Phase-1 contract</w:t>
      </w:r>
      <w:r w:rsidRPr="003506E5">
        <w:t>.</w:t>
      </w:r>
    </w:p>
    <w:p w14:paraId="6F24EEC8" w14:textId="77777777" w:rsidR="005F5304" w:rsidRPr="003506E5" w:rsidRDefault="005F5304" w:rsidP="005F5304">
      <w:pPr>
        <w:pStyle w:val="BodyText"/>
      </w:pPr>
      <w:r w:rsidRPr="003506E5">
        <w:t xml:space="preserve"> </w:t>
      </w:r>
    </w:p>
    <w:p w14:paraId="76E952D5" w14:textId="77777777" w:rsidR="005F5304" w:rsidRPr="003506E5" w:rsidRDefault="005F5304" w:rsidP="005F5304">
      <w:pPr>
        <w:pStyle w:val="Heading1"/>
      </w:pPr>
      <w:bookmarkStart w:id="24" w:name="_Toc57215281"/>
      <w:r w:rsidRPr="003506E5">
        <w:lastRenderedPageBreak/>
        <w:t>Enrolment of Eligible Beneficiaries</w:t>
      </w:r>
      <w:r w:rsidR="002E3BC6" w:rsidRPr="003506E5">
        <w:t xml:space="preserve"> in GB</w:t>
      </w:r>
      <w:bookmarkEnd w:id="24"/>
    </w:p>
    <w:p w14:paraId="701BB009" w14:textId="77777777" w:rsidR="005F5304" w:rsidRPr="003506E5" w:rsidRDefault="005F5304" w:rsidP="005F5304">
      <w:pPr>
        <w:pStyle w:val="Heading20"/>
      </w:pPr>
      <w:bookmarkStart w:id="25" w:name="_Toc57215282"/>
      <w:r w:rsidRPr="003506E5">
        <w:t>Programme Area and Population</w:t>
      </w:r>
      <w:bookmarkEnd w:id="25"/>
    </w:p>
    <w:p w14:paraId="713D3071" w14:textId="0E8F0904" w:rsidR="005F5304" w:rsidRPr="003506E5" w:rsidRDefault="005F5304" w:rsidP="005F5304">
      <w:pPr>
        <w:pStyle w:val="BodyText"/>
      </w:pPr>
      <w:r w:rsidRPr="003506E5">
        <w:t xml:space="preserve">The health insurance scheme under SHPI is being implemented in Gilgit district of GB. Gilgit district consists of 11 union councils and one Municipal Committee, spread over an area of 4,208 square kilometres with a population of 193,100, at the time of signing of contract in 2016. The census 2017 findings have not yet been released by the Government for </w:t>
      </w:r>
      <w:r w:rsidR="00DE3320" w:rsidRPr="003506E5">
        <w:t>GB</w:t>
      </w:r>
      <w:r w:rsidRPr="003506E5">
        <w:t xml:space="preserve">.  </w:t>
      </w:r>
    </w:p>
    <w:p w14:paraId="537863E6" w14:textId="5A105C58" w:rsidR="005F5304" w:rsidRPr="003506E5" w:rsidRDefault="005F5304" w:rsidP="005F5304">
      <w:pPr>
        <w:pStyle w:val="Caption"/>
        <w:rPr>
          <w:color w:val="002147"/>
          <w:kern w:val="32"/>
        </w:rPr>
      </w:pPr>
    </w:p>
    <w:p w14:paraId="222DE27B" w14:textId="1DCE5E75" w:rsidR="00924FB5" w:rsidRPr="003506E5" w:rsidRDefault="00924FB5" w:rsidP="00924FB5">
      <w:pPr>
        <w:pStyle w:val="Caption"/>
        <w:jc w:val="left"/>
      </w:pPr>
      <w:bookmarkStart w:id="26" w:name="_Toc57215244"/>
      <w:r w:rsidRPr="003506E5">
        <w:t xml:space="preserve">Figure </w:t>
      </w:r>
      <w:r w:rsidR="0049229E">
        <w:fldChar w:fldCharType="begin"/>
      </w:r>
      <w:r w:rsidR="0049229E">
        <w:instrText xml:space="preserve"> SEQ Figure \* ARABIC </w:instrText>
      </w:r>
      <w:r w:rsidR="0049229E">
        <w:fldChar w:fldCharType="separate"/>
      </w:r>
      <w:r w:rsidR="0049229E">
        <w:rPr>
          <w:noProof/>
        </w:rPr>
        <w:t>1</w:t>
      </w:r>
      <w:r w:rsidR="0049229E">
        <w:fldChar w:fldCharType="end"/>
      </w:r>
      <w:r w:rsidRPr="003506E5">
        <w:t>: Map of Gilgit District with its Union Councils</w:t>
      </w:r>
      <w:bookmarkEnd w:id="26"/>
    </w:p>
    <w:p w14:paraId="4C9D4A57" w14:textId="77777777" w:rsidR="005F5304" w:rsidRPr="003506E5" w:rsidRDefault="005F5304" w:rsidP="005F5304">
      <w:pPr>
        <w:pStyle w:val="BodyText"/>
        <w:keepNext/>
        <w:ind w:left="90"/>
        <w:jc w:val="center"/>
      </w:pPr>
      <w:r w:rsidRPr="003506E5">
        <w:rPr>
          <w:rFonts w:eastAsia="Times New Roman"/>
          <w:noProof/>
          <w:lang w:eastAsia="en-US"/>
        </w:rPr>
        <w:drawing>
          <wp:inline distT="0" distB="0" distL="0" distR="0" wp14:anchorId="30670D1F" wp14:editId="7C6F1D0C">
            <wp:extent cx="5219700" cy="3691433"/>
            <wp:effectExtent l="0" t="0" r="0" b="4445"/>
            <wp:docPr id="18" name="Picture 18" descr="cid:E2C549BBA526844198A162585E5FBDD7@akfp.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595658-009E-49B7-B6BA-D3A87DAE09DA" descr="cid:E2C549BBA526844198A162585E5FBDD7@akfp.org"/>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5226345" cy="3696132"/>
                    </a:xfrm>
                    <a:prstGeom prst="rect">
                      <a:avLst/>
                    </a:prstGeom>
                    <a:noFill/>
                    <a:ln>
                      <a:noFill/>
                    </a:ln>
                  </pic:spPr>
                </pic:pic>
              </a:graphicData>
            </a:graphic>
          </wp:inline>
        </w:drawing>
      </w:r>
    </w:p>
    <w:p w14:paraId="4939D900" w14:textId="77777777" w:rsidR="005F5304" w:rsidRPr="003506E5" w:rsidRDefault="005F5304" w:rsidP="005F5304">
      <w:pPr>
        <w:pStyle w:val="Heading20"/>
      </w:pPr>
      <w:bookmarkStart w:id="27" w:name="_Toc57215283"/>
      <w:r w:rsidRPr="003506E5">
        <w:t>Enrolment of Eligible Population</w:t>
      </w:r>
      <w:bookmarkEnd w:id="27"/>
    </w:p>
    <w:p w14:paraId="4B46B655" w14:textId="77777777" w:rsidR="007D0A9B" w:rsidRPr="003506E5" w:rsidRDefault="005F5304" w:rsidP="005F5304">
      <w:pPr>
        <w:pStyle w:val="BodyText"/>
      </w:pPr>
      <w:r w:rsidRPr="003506E5">
        <w:t xml:space="preserve">As per contract between DOH-GB and AKDN consortium, the unit of enrolment for insurance is ‘household’ with a maximum of ‘seven’ members. The total number of households in 21% of the poorest population in Gilgit district is 5,480. These households are termed as eligible household and their enrolment is mandatory for the project implementing organisation - AKDN. BISP data was used to identify and enrol eligible households using PMT scores; the cut-off value of the poorest 21% house is 16.17. </w:t>
      </w:r>
    </w:p>
    <w:p w14:paraId="72CDB2D8" w14:textId="79EE9536" w:rsidR="005F5304" w:rsidRPr="003506E5" w:rsidRDefault="005F5304" w:rsidP="005D2822">
      <w:pPr>
        <w:pStyle w:val="BodyText"/>
      </w:pPr>
      <w:r w:rsidRPr="003506E5">
        <w:t>The insurance premium of these eligible households is being paid by DOH out the programme funds committed by KFW and Gove</w:t>
      </w:r>
      <w:r w:rsidR="007D0A9B" w:rsidRPr="003506E5">
        <w:t>rnment of GB. AKDN used a multi</w:t>
      </w:r>
      <w:r w:rsidRPr="003506E5">
        <w:t>-pronged strategy to reach and locate the households. AKRSP</w:t>
      </w:r>
      <w:r w:rsidR="005D2822" w:rsidRPr="003506E5">
        <w:t>,</w:t>
      </w:r>
      <w:r w:rsidRPr="003506E5">
        <w:t xml:space="preserve"> being an organisation having extensive links with community-based forums like Village Organisations, Women Organisations and LSOs/CSOs</w:t>
      </w:r>
      <w:r w:rsidR="005D2822" w:rsidRPr="003506E5">
        <w:t>,</w:t>
      </w:r>
      <w:r w:rsidRPr="003506E5">
        <w:t xml:space="preserve"> </w:t>
      </w:r>
      <w:r w:rsidRPr="003506E5">
        <w:lastRenderedPageBreak/>
        <w:t>w</w:t>
      </w:r>
      <w:r w:rsidR="005D2822" w:rsidRPr="003506E5">
        <w:t>as</w:t>
      </w:r>
      <w:r w:rsidRPr="003506E5">
        <w:t xml:space="preserve"> tasked to locate</w:t>
      </w:r>
      <w:r w:rsidR="005D2822" w:rsidRPr="003506E5">
        <w:t xml:space="preserve"> and</w:t>
      </w:r>
      <w:r w:rsidRPr="003506E5">
        <w:t xml:space="preserve"> enrol </w:t>
      </w:r>
      <w:r w:rsidR="005D2822" w:rsidRPr="003506E5">
        <w:t xml:space="preserve">eligible households </w:t>
      </w:r>
      <w:r w:rsidRPr="003506E5">
        <w:t xml:space="preserve">and deliver insurance cards and MHI related awareness material. The following table shows the updated status of enrolment amongst eligible population </w:t>
      </w:r>
      <w:r w:rsidR="005D2822" w:rsidRPr="003506E5">
        <w:t xml:space="preserve">in each union council </w:t>
      </w:r>
      <w:r w:rsidRPr="003506E5">
        <w:t>against the set targets in the contract between DOH-GB and AKDN Consortium.</w:t>
      </w:r>
    </w:p>
    <w:p w14:paraId="28E25796" w14:textId="3D783F0B" w:rsidR="00924FB5" w:rsidRPr="003506E5" w:rsidRDefault="00924FB5" w:rsidP="00924FB5">
      <w:pPr>
        <w:pStyle w:val="Caption"/>
      </w:pPr>
      <w:bookmarkStart w:id="28" w:name="_Toc57215225"/>
      <w:r w:rsidRPr="003506E5">
        <w:t xml:space="preserve">Table </w:t>
      </w:r>
      <w:r w:rsidRPr="003506E5">
        <w:fldChar w:fldCharType="begin"/>
      </w:r>
      <w:r w:rsidRPr="003506E5">
        <w:instrText xml:space="preserve"> SEQ Table \* ARABIC </w:instrText>
      </w:r>
      <w:r w:rsidRPr="003506E5">
        <w:fldChar w:fldCharType="separate"/>
      </w:r>
      <w:r w:rsidR="00AE4FA0">
        <w:rPr>
          <w:noProof/>
        </w:rPr>
        <w:t>5</w:t>
      </w:r>
      <w:r w:rsidRPr="003506E5">
        <w:fldChar w:fldCharType="end"/>
      </w:r>
      <w:r w:rsidRPr="003506E5">
        <w:t>: Enrolment of Eligible Population by Union Council</w:t>
      </w:r>
      <w:bookmarkEnd w:id="28"/>
    </w:p>
    <w:tbl>
      <w:tblPr>
        <w:tblStyle w:val="OPMTable2019"/>
        <w:tblW w:w="4392" w:type="pct"/>
        <w:tblLook w:val="04A0" w:firstRow="1" w:lastRow="0" w:firstColumn="1" w:lastColumn="0" w:noHBand="0" w:noVBand="1"/>
      </w:tblPr>
      <w:tblGrid>
        <w:gridCol w:w="592"/>
        <w:gridCol w:w="2014"/>
        <w:gridCol w:w="1801"/>
        <w:gridCol w:w="1620"/>
        <w:gridCol w:w="1891"/>
      </w:tblGrid>
      <w:tr w:rsidR="005F5304" w:rsidRPr="003506E5" w14:paraId="1E7A657F" w14:textId="77777777" w:rsidTr="00AD20D9">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74" w:type="pct"/>
            <w:hideMark/>
          </w:tcPr>
          <w:p w14:paraId="002AF228" w14:textId="77777777" w:rsidR="005F5304" w:rsidRPr="003506E5" w:rsidRDefault="005F5304" w:rsidP="00AD20D9">
            <w:pPr>
              <w:pStyle w:val="Tabletext"/>
            </w:pPr>
            <w:r w:rsidRPr="003506E5">
              <w:t>Sr.#</w:t>
            </w:r>
          </w:p>
        </w:tc>
        <w:tc>
          <w:tcPr>
            <w:tcW w:w="1272" w:type="pct"/>
            <w:hideMark/>
          </w:tcPr>
          <w:p w14:paraId="0A988E00" w14:textId="77777777" w:rsidR="005F5304" w:rsidRPr="003506E5" w:rsidRDefault="005F5304" w:rsidP="00AD20D9">
            <w:pPr>
              <w:pStyle w:val="Tabletext"/>
              <w:cnfStyle w:val="100000000000" w:firstRow="1" w:lastRow="0" w:firstColumn="0" w:lastColumn="0" w:oddVBand="0" w:evenVBand="0" w:oddHBand="0" w:evenHBand="0" w:firstRowFirstColumn="0" w:firstRowLastColumn="0" w:lastRowFirstColumn="0" w:lastRowLastColumn="0"/>
            </w:pPr>
            <w:r w:rsidRPr="003506E5">
              <w:t>Name of UC</w:t>
            </w:r>
          </w:p>
        </w:tc>
        <w:tc>
          <w:tcPr>
            <w:tcW w:w="1137" w:type="pct"/>
            <w:hideMark/>
          </w:tcPr>
          <w:p w14:paraId="198C4296" w14:textId="77777777" w:rsidR="005F5304" w:rsidRPr="003506E5" w:rsidRDefault="005F5304" w:rsidP="00AD20D9">
            <w:pPr>
              <w:pStyle w:val="Tabletext"/>
              <w:jc w:val="center"/>
              <w:cnfStyle w:val="100000000000" w:firstRow="1" w:lastRow="0" w:firstColumn="0" w:lastColumn="0" w:oddVBand="0" w:evenVBand="0" w:oddHBand="0" w:evenHBand="0" w:firstRowFirstColumn="0" w:firstRowLastColumn="0" w:lastRowFirstColumn="0" w:lastRowLastColumn="0"/>
            </w:pPr>
            <w:r w:rsidRPr="003506E5">
              <w:t>Target # household</w:t>
            </w:r>
          </w:p>
        </w:tc>
        <w:tc>
          <w:tcPr>
            <w:tcW w:w="1023" w:type="pct"/>
            <w:hideMark/>
          </w:tcPr>
          <w:p w14:paraId="34E33945" w14:textId="77777777" w:rsidR="005F5304" w:rsidRPr="003506E5" w:rsidRDefault="005F5304" w:rsidP="00AD20D9">
            <w:pPr>
              <w:pStyle w:val="Tabletext"/>
              <w:jc w:val="center"/>
              <w:cnfStyle w:val="100000000000" w:firstRow="1" w:lastRow="0" w:firstColumn="0" w:lastColumn="0" w:oddVBand="0" w:evenVBand="0" w:oddHBand="0" w:evenHBand="0" w:firstRowFirstColumn="0" w:firstRowLastColumn="0" w:lastRowFirstColumn="0" w:lastRowLastColumn="0"/>
            </w:pPr>
            <w:r w:rsidRPr="003506E5">
              <w:t>Achieved # household</w:t>
            </w:r>
          </w:p>
        </w:tc>
        <w:tc>
          <w:tcPr>
            <w:tcW w:w="1194" w:type="pct"/>
          </w:tcPr>
          <w:p w14:paraId="0C18CCEC" w14:textId="77777777" w:rsidR="005F5304" w:rsidRPr="003506E5" w:rsidRDefault="005F5304" w:rsidP="00AD20D9">
            <w:pPr>
              <w:pStyle w:val="Tabletext"/>
              <w:jc w:val="center"/>
              <w:cnfStyle w:val="100000000000" w:firstRow="1" w:lastRow="0" w:firstColumn="0" w:lastColumn="0" w:oddVBand="0" w:evenVBand="0" w:oddHBand="0" w:evenHBand="0" w:firstRowFirstColumn="0" w:firstRowLastColumn="0" w:lastRowFirstColumn="0" w:lastRowLastColumn="0"/>
            </w:pPr>
            <w:r w:rsidRPr="003506E5">
              <w:t>Population</w:t>
            </w:r>
          </w:p>
          <w:p w14:paraId="2E7A2216" w14:textId="77777777" w:rsidR="005F5304" w:rsidRPr="003506E5" w:rsidRDefault="005F5304" w:rsidP="00AD20D9">
            <w:pPr>
              <w:pStyle w:val="Tabletext"/>
              <w:jc w:val="center"/>
              <w:cnfStyle w:val="100000000000" w:firstRow="1" w:lastRow="0" w:firstColumn="0" w:lastColumn="0" w:oddVBand="0" w:evenVBand="0" w:oddHBand="0" w:evenHBand="0" w:firstRowFirstColumn="0" w:firstRowLastColumn="0" w:lastRowFirstColumn="0" w:lastRowLastColumn="0"/>
            </w:pPr>
            <w:r w:rsidRPr="003506E5">
              <w:t>Covered</w:t>
            </w:r>
          </w:p>
        </w:tc>
      </w:tr>
      <w:tr w:rsidR="005F5304" w:rsidRPr="003506E5" w14:paraId="12AB95A8" w14:textId="77777777" w:rsidTr="00AD20D9">
        <w:trPr>
          <w:trHeight w:val="356"/>
        </w:trPr>
        <w:tc>
          <w:tcPr>
            <w:cnfStyle w:val="001000000000" w:firstRow="0" w:lastRow="0" w:firstColumn="1" w:lastColumn="0" w:oddVBand="0" w:evenVBand="0" w:oddHBand="0" w:evenHBand="0" w:firstRowFirstColumn="0" w:firstRowLastColumn="0" w:lastRowFirstColumn="0" w:lastRowLastColumn="0"/>
            <w:tcW w:w="374" w:type="pct"/>
            <w:hideMark/>
          </w:tcPr>
          <w:p w14:paraId="58947D82" w14:textId="77777777" w:rsidR="005F5304" w:rsidRPr="003506E5" w:rsidRDefault="005F5304" w:rsidP="00AD20D9">
            <w:pPr>
              <w:pStyle w:val="Tabletext"/>
            </w:pPr>
            <w:r w:rsidRPr="003506E5">
              <w:t>1</w:t>
            </w:r>
          </w:p>
        </w:tc>
        <w:tc>
          <w:tcPr>
            <w:tcW w:w="1272" w:type="pct"/>
            <w:hideMark/>
          </w:tcPr>
          <w:p w14:paraId="539FC78B" w14:textId="77777777" w:rsidR="005F5304" w:rsidRPr="003506E5" w:rsidRDefault="005F5304" w:rsidP="00AD20D9">
            <w:pPr>
              <w:pStyle w:val="Tabletext"/>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Bagrote</w:t>
            </w:r>
          </w:p>
        </w:tc>
        <w:tc>
          <w:tcPr>
            <w:tcW w:w="1137" w:type="pct"/>
            <w:hideMark/>
          </w:tcPr>
          <w:p w14:paraId="33B70374"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267</w:t>
            </w:r>
          </w:p>
        </w:tc>
        <w:tc>
          <w:tcPr>
            <w:tcW w:w="1023" w:type="pct"/>
            <w:hideMark/>
          </w:tcPr>
          <w:p w14:paraId="0F0C3875"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332</w:t>
            </w:r>
          </w:p>
        </w:tc>
        <w:tc>
          <w:tcPr>
            <w:tcW w:w="1194" w:type="pct"/>
          </w:tcPr>
          <w:p w14:paraId="62DEA6A3"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1660</w:t>
            </w:r>
          </w:p>
        </w:tc>
      </w:tr>
      <w:tr w:rsidR="005F5304" w:rsidRPr="003506E5" w14:paraId="589BF7D9" w14:textId="77777777" w:rsidTr="00AD20D9">
        <w:trPr>
          <w:trHeight w:val="247"/>
        </w:trPr>
        <w:tc>
          <w:tcPr>
            <w:cnfStyle w:val="001000000000" w:firstRow="0" w:lastRow="0" w:firstColumn="1" w:lastColumn="0" w:oddVBand="0" w:evenVBand="0" w:oddHBand="0" w:evenHBand="0" w:firstRowFirstColumn="0" w:firstRowLastColumn="0" w:lastRowFirstColumn="0" w:lastRowLastColumn="0"/>
            <w:tcW w:w="374" w:type="pct"/>
            <w:hideMark/>
          </w:tcPr>
          <w:p w14:paraId="5B990AB9" w14:textId="77777777" w:rsidR="005F5304" w:rsidRPr="003506E5" w:rsidRDefault="005F5304" w:rsidP="00AD20D9">
            <w:pPr>
              <w:pStyle w:val="Tabletext"/>
            </w:pPr>
            <w:r w:rsidRPr="003506E5">
              <w:t>2</w:t>
            </w:r>
          </w:p>
        </w:tc>
        <w:tc>
          <w:tcPr>
            <w:tcW w:w="1272" w:type="pct"/>
            <w:hideMark/>
          </w:tcPr>
          <w:p w14:paraId="193D39FE" w14:textId="77777777" w:rsidR="005F5304" w:rsidRPr="003506E5" w:rsidRDefault="005F5304" w:rsidP="00AD20D9">
            <w:pPr>
              <w:pStyle w:val="Tabletext"/>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Chakarkote</w:t>
            </w:r>
          </w:p>
        </w:tc>
        <w:tc>
          <w:tcPr>
            <w:tcW w:w="1137" w:type="pct"/>
            <w:hideMark/>
          </w:tcPr>
          <w:p w14:paraId="5CE6967F"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453</w:t>
            </w:r>
          </w:p>
        </w:tc>
        <w:tc>
          <w:tcPr>
            <w:tcW w:w="1023" w:type="pct"/>
            <w:hideMark/>
          </w:tcPr>
          <w:p w14:paraId="15285C15"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422</w:t>
            </w:r>
          </w:p>
        </w:tc>
        <w:tc>
          <w:tcPr>
            <w:tcW w:w="1194" w:type="pct"/>
          </w:tcPr>
          <w:p w14:paraId="48615238"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2110</w:t>
            </w:r>
          </w:p>
        </w:tc>
      </w:tr>
      <w:tr w:rsidR="005F5304" w:rsidRPr="003506E5" w14:paraId="01C1B35F" w14:textId="77777777" w:rsidTr="00AD20D9">
        <w:trPr>
          <w:trHeight w:val="229"/>
        </w:trPr>
        <w:tc>
          <w:tcPr>
            <w:cnfStyle w:val="001000000000" w:firstRow="0" w:lastRow="0" w:firstColumn="1" w:lastColumn="0" w:oddVBand="0" w:evenVBand="0" w:oddHBand="0" w:evenHBand="0" w:firstRowFirstColumn="0" w:firstRowLastColumn="0" w:lastRowFirstColumn="0" w:lastRowLastColumn="0"/>
            <w:tcW w:w="374" w:type="pct"/>
            <w:hideMark/>
          </w:tcPr>
          <w:p w14:paraId="728020F0" w14:textId="77777777" w:rsidR="005F5304" w:rsidRPr="003506E5" w:rsidRDefault="005F5304" w:rsidP="00AD20D9">
            <w:pPr>
              <w:pStyle w:val="Tabletext"/>
            </w:pPr>
            <w:r w:rsidRPr="003506E5">
              <w:t>3</w:t>
            </w:r>
          </w:p>
        </w:tc>
        <w:tc>
          <w:tcPr>
            <w:tcW w:w="1272" w:type="pct"/>
            <w:hideMark/>
          </w:tcPr>
          <w:p w14:paraId="387C809D" w14:textId="77777777" w:rsidR="005F5304" w:rsidRPr="003506E5" w:rsidRDefault="005F5304" w:rsidP="00AD20D9">
            <w:pPr>
              <w:pStyle w:val="Tabletext"/>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Damote</w:t>
            </w:r>
          </w:p>
        </w:tc>
        <w:tc>
          <w:tcPr>
            <w:tcW w:w="1137" w:type="pct"/>
            <w:hideMark/>
          </w:tcPr>
          <w:p w14:paraId="1B5ED064"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1050</w:t>
            </w:r>
          </w:p>
        </w:tc>
        <w:tc>
          <w:tcPr>
            <w:tcW w:w="1023" w:type="pct"/>
            <w:hideMark/>
          </w:tcPr>
          <w:p w14:paraId="1F6D5F80"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969</w:t>
            </w:r>
          </w:p>
        </w:tc>
        <w:tc>
          <w:tcPr>
            <w:tcW w:w="1194" w:type="pct"/>
          </w:tcPr>
          <w:p w14:paraId="41F57CCE"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9690</w:t>
            </w:r>
          </w:p>
        </w:tc>
      </w:tr>
      <w:tr w:rsidR="005F5304" w:rsidRPr="003506E5" w14:paraId="3983E7EA" w14:textId="77777777" w:rsidTr="00AD20D9">
        <w:trPr>
          <w:trHeight w:val="137"/>
        </w:trPr>
        <w:tc>
          <w:tcPr>
            <w:cnfStyle w:val="001000000000" w:firstRow="0" w:lastRow="0" w:firstColumn="1" w:lastColumn="0" w:oddVBand="0" w:evenVBand="0" w:oddHBand="0" w:evenHBand="0" w:firstRowFirstColumn="0" w:firstRowLastColumn="0" w:lastRowFirstColumn="0" w:lastRowLastColumn="0"/>
            <w:tcW w:w="374" w:type="pct"/>
            <w:hideMark/>
          </w:tcPr>
          <w:p w14:paraId="7F0AF064" w14:textId="77777777" w:rsidR="005F5304" w:rsidRPr="003506E5" w:rsidRDefault="005F5304" w:rsidP="00AD20D9">
            <w:pPr>
              <w:pStyle w:val="Tabletext"/>
            </w:pPr>
            <w:r w:rsidRPr="003506E5">
              <w:t>4</w:t>
            </w:r>
          </w:p>
        </w:tc>
        <w:tc>
          <w:tcPr>
            <w:tcW w:w="1272" w:type="pct"/>
            <w:hideMark/>
          </w:tcPr>
          <w:p w14:paraId="61B524F7" w14:textId="77777777" w:rsidR="005F5304" w:rsidRPr="003506E5" w:rsidRDefault="005F5304" w:rsidP="00AD20D9">
            <w:pPr>
              <w:pStyle w:val="Tabletext"/>
              <w:cnfStyle w:val="000000000000" w:firstRow="0" w:lastRow="0" w:firstColumn="0" w:lastColumn="0" w:oddVBand="0" w:evenVBand="0" w:oddHBand="0" w:evenHBand="0" w:firstRowFirstColumn="0" w:firstRowLastColumn="0" w:lastRowFirstColumn="0" w:lastRowLastColumn="0"/>
              <w:rPr>
                <w:color w:val="000000"/>
              </w:rPr>
            </w:pPr>
            <w:r w:rsidRPr="003506E5">
              <w:rPr>
                <w:kern w:val="32"/>
              </w:rPr>
              <w:t>Daniyor</w:t>
            </w:r>
          </w:p>
        </w:tc>
        <w:tc>
          <w:tcPr>
            <w:tcW w:w="1137" w:type="pct"/>
            <w:hideMark/>
          </w:tcPr>
          <w:p w14:paraId="7D57F337"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362</w:t>
            </w:r>
          </w:p>
        </w:tc>
        <w:tc>
          <w:tcPr>
            <w:tcW w:w="1023" w:type="pct"/>
            <w:hideMark/>
          </w:tcPr>
          <w:p w14:paraId="321A7CDE"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302</w:t>
            </w:r>
          </w:p>
        </w:tc>
        <w:tc>
          <w:tcPr>
            <w:tcW w:w="1194" w:type="pct"/>
          </w:tcPr>
          <w:p w14:paraId="3D351C1A"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2114</w:t>
            </w:r>
          </w:p>
        </w:tc>
      </w:tr>
      <w:tr w:rsidR="005F5304" w:rsidRPr="003506E5" w14:paraId="2D6DF551" w14:textId="77777777" w:rsidTr="00AD20D9">
        <w:trPr>
          <w:trHeight w:val="137"/>
        </w:trPr>
        <w:tc>
          <w:tcPr>
            <w:cnfStyle w:val="001000000000" w:firstRow="0" w:lastRow="0" w:firstColumn="1" w:lastColumn="0" w:oddVBand="0" w:evenVBand="0" w:oddHBand="0" w:evenHBand="0" w:firstRowFirstColumn="0" w:firstRowLastColumn="0" w:lastRowFirstColumn="0" w:lastRowLastColumn="0"/>
            <w:tcW w:w="374" w:type="pct"/>
            <w:hideMark/>
          </w:tcPr>
          <w:p w14:paraId="1464C704" w14:textId="77777777" w:rsidR="005F5304" w:rsidRPr="003506E5" w:rsidRDefault="005F5304" w:rsidP="00AD20D9">
            <w:pPr>
              <w:pStyle w:val="Tabletext"/>
            </w:pPr>
            <w:r w:rsidRPr="003506E5">
              <w:t>5</w:t>
            </w:r>
          </w:p>
        </w:tc>
        <w:tc>
          <w:tcPr>
            <w:tcW w:w="1272" w:type="pct"/>
            <w:hideMark/>
          </w:tcPr>
          <w:p w14:paraId="7933911B" w14:textId="77777777" w:rsidR="005F5304" w:rsidRPr="003506E5" w:rsidRDefault="005F5304" w:rsidP="00AD20D9">
            <w:pPr>
              <w:pStyle w:val="Tabletext"/>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Gilgit Municipal Area</w:t>
            </w:r>
          </w:p>
        </w:tc>
        <w:tc>
          <w:tcPr>
            <w:tcW w:w="1137" w:type="pct"/>
            <w:hideMark/>
          </w:tcPr>
          <w:p w14:paraId="4A52C2E7"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1182</w:t>
            </w:r>
          </w:p>
        </w:tc>
        <w:tc>
          <w:tcPr>
            <w:tcW w:w="1023" w:type="pct"/>
            <w:hideMark/>
          </w:tcPr>
          <w:p w14:paraId="640BE8C4"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1035</w:t>
            </w:r>
          </w:p>
        </w:tc>
        <w:tc>
          <w:tcPr>
            <w:tcW w:w="1194" w:type="pct"/>
          </w:tcPr>
          <w:p w14:paraId="37ED80AB"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7245</w:t>
            </w:r>
          </w:p>
        </w:tc>
      </w:tr>
      <w:tr w:rsidR="005F5304" w:rsidRPr="003506E5" w14:paraId="0FBC17E6" w14:textId="77777777" w:rsidTr="00AD20D9">
        <w:trPr>
          <w:trHeight w:val="137"/>
        </w:trPr>
        <w:tc>
          <w:tcPr>
            <w:cnfStyle w:val="001000000000" w:firstRow="0" w:lastRow="0" w:firstColumn="1" w:lastColumn="0" w:oddVBand="0" w:evenVBand="0" w:oddHBand="0" w:evenHBand="0" w:firstRowFirstColumn="0" w:firstRowLastColumn="0" w:lastRowFirstColumn="0" w:lastRowLastColumn="0"/>
            <w:tcW w:w="374" w:type="pct"/>
            <w:hideMark/>
          </w:tcPr>
          <w:p w14:paraId="6E68EC0E" w14:textId="77777777" w:rsidR="005F5304" w:rsidRPr="003506E5" w:rsidRDefault="005F5304" w:rsidP="00AD20D9">
            <w:pPr>
              <w:pStyle w:val="Tabletext"/>
            </w:pPr>
            <w:r w:rsidRPr="003506E5">
              <w:t>6</w:t>
            </w:r>
          </w:p>
        </w:tc>
        <w:tc>
          <w:tcPr>
            <w:tcW w:w="1272" w:type="pct"/>
            <w:hideMark/>
          </w:tcPr>
          <w:p w14:paraId="4A34C7CD" w14:textId="77777777" w:rsidR="005F5304" w:rsidRPr="003506E5" w:rsidRDefault="005F5304" w:rsidP="00AD20D9">
            <w:pPr>
              <w:pStyle w:val="Tabletext"/>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Haramosh</w:t>
            </w:r>
          </w:p>
        </w:tc>
        <w:tc>
          <w:tcPr>
            <w:tcW w:w="1137" w:type="pct"/>
            <w:hideMark/>
          </w:tcPr>
          <w:p w14:paraId="65E1E0E8"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363</w:t>
            </w:r>
          </w:p>
        </w:tc>
        <w:tc>
          <w:tcPr>
            <w:tcW w:w="1023" w:type="pct"/>
            <w:hideMark/>
          </w:tcPr>
          <w:p w14:paraId="257E1187"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363</w:t>
            </w:r>
          </w:p>
        </w:tc>
        <w:tc>
          <w:tcPr>
            <w:tcW w:w="1194" w:type="pct"/>
          </w:tcPr>
          <w:p w14:paraId="70733B6F"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1815</w:t>
            </w:r>
          </w:p>
        </w:tc>
      </w:tr>
      <w:tr w:rsidR="005F5304" w:rsidRPr="003506E5" w14:paraId="10753BA3" w14:textId="77777777" w:rsidTr="00AD20D9">
        <w:trPr>
          <w:trHeight w:val="137"/>
        </w:trPr>
        <w:tc>
          <w:tcPr>
            <w:cnfStyle w:val="001000000000" w:firstRow="0" w:lastRow="0" w:firstColumn="1" w:lastColumn="0" w:oddVBand="0" w:evenVBand="0" w:oddHBand="0" w:evenHBand="0" w:firstRowFirstColumn="0" w:firstRowLastColumn="0" w:lastRowFirstColumn="0" w:lastRowLastColumn="0"/>
            <w:tcW w:w="374" w:type="pct"/>
            <w:hideMark/>
          </w:tcPr>
          <w:p w14:paraId="3DED8EB9" w14:textId="77777777" w:rsidR="005F5304" w:rsidRPr="003506E5" w:rsidRDefault="005F5304" w:rsidP="00AD20D9">
            <w:pPr>
              <w:pStyle w:val="Tabletext"/>
            </w:pPr>
            <w:r w:rsidRPr="003506E5">
              <w:t>7</w:t>
            </w:r>
          </w:p>
        </w:tc>
        <w:tc>
          <w:tcPr>
            <w:tcW w:w="1272" w:type="pct"/>
            <w:hideMark/>
          </w:tcPr>
          <w:p w14:paraId="5D892393" w14:textId="77777777" w:rsidR="005F5304" w:rsidRPr="003506E5" w:rsidRDefault="005F5304" w:rsidP="00AD20D9">
            <w:pPr>
              <w:pStyle w:val="Tabletext"/>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Jalalabad</w:t>
            </w:r>
          </w:p>
        </w:tc>
        <w:tc>
          <w:tcPr>
            <w:tcW w:w="1137" w:type="pct"/>
            <w:hideMark/>
          </w:tcPr>
          <w:p w14:paraId="7126AC78"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538</w:t>
            </w:r>
          </w:p>
        </w:tc>
        <w:tc>
          <w:tcPr>
            <w:tcW w:w="1023" w:type="pct"/>
            <w:hideMark/>
          </w:tcPr>
          <w:p w14:paraId="73B37146"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525</w:t>
            </w:r>
          </w:p>
        </w:tc>
        <w:tc>
          <w:tcPr>
            <w:tcW w:w="1194" w:type="pct"/>
          </w:tcPr>
          <w:p w14:paraId="460D8A08"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2625</w:t>
            </w:r>
          </w:p>
        </w:tc>
      </w:tr>
      <w:tr w:rsidR="005F5304" w:rsidRPr="003506E5" w14:paraId="1DFE9D8F" w14:textId="77777777" w:rsidTr="00AD20D9">
        <w:trPr>
          <w:trHeight w:val="137"/>
        </w:trPr>
        <w:tc>
          <w:tcPr>
            <w:cnfStyle w:val="001000000000" w:firstRow="0" w:lastRow="0" w:firstColumn="1" w:lastColumn="0" w:oddVBand="0" w:evenVBand="0" w:oddHBand="0" w:evenHBand="0" w:firstRowFirstColumn="0" w:firstRowLastColumn="0" w:lastRowFirstColumn="0" w:lastRowLastColumn="0"/>
            <w:tcW w:w="374" w:type="pct"/>
            <w:hideMark/>
          </w:tcPr>
          <w:p w14:paraId="7C7D90D0" w14:textId="77777777" w:rsidR="005F5304" w:rsidRPr="003506E5" w:rsidRDefault="005F5304" w:rsidP="00AD20D9">
            <w:pPr>
              <w:pStyle w:val="Tabletext"/>
            </w:pPr>
            <w:r w:rsidRPr="003506E5">
              <w:t>8</w:t>
            </w:r>
          </w:p>
        </w:tc>
        <w:tc>
          <w:tcPr>
            <w:tcW w:w="1272" w:type="pct"/>
            <w:hideMark/>
          </w:tcPr>
          <w:p w14:paraId="78296908" w14:textId="77777777" w:rsidR="005F5304" w:rsidRPr="003506E5" w:rsidRDefault="005F5304" w:rsidP="00AD20D9">
            <w:pPr>
              <w:pStyle w:val="Tabletext"/>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Nomal</w:t>
            </w:r>
          </w:p>
        </w:tc>
        <w:tc>
          <w:tcPr>
            <w:tcW w:w="1137" w:type="pct"/>
            <w:hideMark/>
          </w:tcPr>
          <w:p w14:paraId="67AF4047"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180</w:t>
            </w:r>
          </w:p>
        </w:tc>
        <w:tc>
          <w:tcPr>
            <w:tcW w:w="1023" w:type="pct"/>
            <w:hideMark/>
          </w:tcPr>
          <w:p w14:paraId="4941E50B"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245</w:t>
            </w:r>
          </w:p>
        </w:tc>
        <w:tc>
          <w:tcPr>
            <w:tcW w:w="1194" w:type="pct"/>
          </w:tcPr>
          <w:p w14:paraId="7FFCBD7F"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1225</w:t>
            </w:r>
          </w:p>
        </w:tc>
      </w:tr>
      <w:tr w:rsidR="005F5304" w:rsidRPr="003506E5" w14:paraId="5AFC23DF" w14:textId="77777777" w:rsidTr="00AD20D9">
        <w:trPr>
          <w:trHeight w:val="137"/>
        </w:trPr>
        <w:tc>
          <w:tcPr>
            <w:cnfStyle w:val="001000000000" w:firstRow="0" w:lastRow="0" w:firstColumn="1" w:lastColumn="0" w:oddVBand="0" w:evenVBand="0" w:oddHBand="0" w:evenHBand="0" w:firstRowFirstColumn="0" w:firstRowLastColumn="0" w:lastRowFirstColumn="0" w:lastRowLastColumn="0"/>
            <w:tcW w:w="374" w:type="pct"/>
            <w:hideMark/>
          </w:tcPr>
          <w:p w14:paraId="4BEF4A7E" w14:textId="77777777" w:rsidR="005F5304" w:rsidRPr="003506E5" w:rsidRDefault="005F5304" w:rsidP="00AD20D9">
            <w:pPr>
              <w:pStyle w:val="Tabletext"/>
            </w:pPr>
            <w:r w:rsidRPr="003506E5">
              <w:t>9</w:t>
            </w:r>
          </w:p>
        </w:tc>
        <w:tc>
          <w:tcPr>
            <w:tcW w:w="1272" w:type="pct"/>
            <w:hideMark/>
          </w:tcPr>
          <w:p w14:paraId="3609B1EB" w14:textId="77777777" w:rsidR="005F5304" w:rsidRPr="003506E5" w:rsidRDefault="005F5304" w:rsidP="00AD20D9">
            <w:pPr>
              <w:pStyle w:val="Tabletext"/>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Rahimabad</w:t>
            </w:r>
          </w:p>
        </w:tc>
        <w:tc>
          <w:tcPr>
            <w:tcW w:w="1137" w:type="pct"/>
            <w:hideMark/>
          </w:tcPr>
          <w:p w14:paraId="2CFB5EA9"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219</w:t>
            </w:r>
          </w:p>
        </w:tc>
        <w:tc>
          <w:tcPr>
            <w:tcW w:w="1023" w:type="pct"/>
            <w:hideMark/>
          </w:tcPr>
          <w:p w14:paraId="426B4E83"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326</w:t>
            </w:r>
          </w:p>
        </w:tc>
        <w:tc>
          <w:tcPr>
            <w:tcW w:w="1194" w:type="pct"/>
          </w:tcPr>
          <w:p w14:paraId="29AFDE9E"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1630</w:t>
            </w:r>
          </w:p>
        </w:tc>
      </w:tr>
      <w:tr w:rsidR="005F5304" w:rsidRPr="003506E5" w14:paraId="76C42FE4" w14:textId="77777777" w:rsidTr="00AD20D9">
        <w:trPr>
          <w:trHeight w:val="137"/>
        </w:trPr>
        <w:tc>
          <w:tcPr>
            <w:cnfStyle w:val="001000000000" w:firstRow="0" w:lastRow="0" w:firstColumn="1" w:lastColumn="0" w:oddVBand="0" w:evenVBand="0" w:oddHBand="0" w:evenHBand="0" w:firstRowFirstColumn="0" w:firstRowLastColumn="0" w:lastRowFirstColumn="0" w:lastRowLastColumn="0"/>
            <w:tcW w:w="374" w:type="pct"/>
            <w:hideMark/>
          </w:tcPr>
          <w:p w14:paraId="15F8FF00" w14:textId="77777777" w:rsidR="005F5304" w:rsidRPr="003506E5" w:rsidRDefault="005F5304" w:rsidP="00AD20D9">
            <w:pPr>
              <w:pStyle w:val="Tabletext"/>
            </w:pPr>
            <w:r w:rsidRPr="003506E5">
              <w:t>10</w:t>
            </w:r>
          </w:p>
        </w:tc>
        <w:tc>
          <w:tcPr>
            <w:tcW w:w="1272" w:type="pct"/>
            <w:hideMark/>
          </w:tcPr>
          <w:p w14:paraId="0C5B6670" w14:textId="77777777" w:rsidR="005F5304" w:rsidRPr="003506E5" w:rsidRDefault="005F5304" w:rsidP="00AD20D9">
            <w:pPr>
              <w:pStyle w:val="Tabletext"/>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Sakwar</w:t>
            </w:r>
          </w:p>
        </w:tc>
        <w:tc>
          <w:tcPr>
            <w:tcW w:w="1137" w:type="pct"/>
            <w:hideMark/>
          </w:tcPr>
          <w:p w14:paraId="29759C73"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240</w:t>
            </w:r>
          </w:p>
        </w:tc>
        <w:tc>
          <w:tcPr>
            <w:tcW w:w="1023" w:type="pct"/>
            <w:hideMark/>
          </w:tcPr>
          <w:p w14:paraId="1FFF9F60"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231</w:t>
            </w:r>
          </w:p>
        </w:tc>
        <w:tc>
          <w:tcPr>
            <w:tcW w:w="1194" w:type="pct"/>
          </w:tcPr>
          <w:p w14:paraId="2C91F72C"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1423</w:t>
            </w:r>
          </w:p>
        </w:tc>
      </w:tr>
      <w:tr w:rsidR="005F5304" w:rsidRPr="003506E5" w14:paraId="53F9768D" w14:textId="77777777" w:rsidTr="00AD20D9">
        <w:trPr>
          <w:trHeight w:val="137"/>
        </w:trPr>
        <w:tc>
          <w:tcPr>
            <w:cnfStyle w:val="001000000000" w:firstRow="0" w:lastRow="0" w:firstColumn="1" w:lastColumn="0" w:oddVBand="0" w:evenVBand="0" w:oddHBand="0" w:evenHBand="0" w:firstRowFirstColumn="0" w:firstRowLastColumn="0" w:lastRowFirstColumn="0" w:lastRowLastColumn="0"/>
            <w:tcW w:w="374" w:type="pct"/>
            <w:hideMark/>
          </w:tcPr>
          <w:p w14:paraId="5F6E4705" w14:textId="77777777" w:rsidR="005F5304" w:rsidRPr="003506E5" w:rsidRDefault="005F5304" w:rsidP="00AD20D9">
            <w:pPr>
              <w:pStyle w:val="Tabletext"/>
            </w:pPr>
            <w:r w:rsidRPr="003506E5">
              <w:t>11</w:t>
            </w:r>
          </w:p>
        </w:tc>
        <w:tc>
          <w:tcPr>
            <w:tcW w:w="1272" w:type="pct"/>
            <w:hideMark/>
          </w:tcPr>
          <w:p w14:paraId="24A77B23" w14:textId="77777777" w:rsidR="005F5304" w:rsidRPr="003506E5" w:rsidRDefault="005F5304" w:rsidP="00AD20D9">
            <w:pPr>
              <w:pStyle w:val="Tabletext"/>
              <w:cnfStyle w:val="000000000000" w:firstRow="0" w:lastRow="0" w:firstColumn="0" w:lastColumn="0" w:oddVBand="0" w:evenVBand="0" w:oddHBand="0" w:evenHBand="0" w:firstRowFirstColumn="0" w:firstRowLastColumn="0" w:lastRowFirstColumn="0" w:lastRowLastColumn="0"/>
              <w:rPr>
                <w:color w:val="000000"/>
              </w:rPr>
            </w:pPr>
            <w:r w:rsidRPr="003506E5">
              <w:rPr>
                <w:kern w:val="32"/>
              </w:rPr>
              <w:t>Shakiyot</w:t>
            </w:r>
          </w:p>
        </w:tc>
        <w:tc>
          <w:tcPr>
            <w:tcW w:w="1137" w:type="pct"/>
            <w:hideMark/>
          </w:tcPr>
          <w:p w14:paraId="482BABE8"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626</w:t>
            </w:r>
          </w:p>
        </w:tc>
        <w:tc>
          <w:tcPr>
            <w:tcW w:w="1023" w:type="pct"/>
            <w:hideMark/>
          </w:tcPr>
          <w:p w14:paraId="4E6EB3FA"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590</w:t>
            </w:r>
          </w:p>
        </w:tc>
        <w:tc>
          <w:tcPr>
            <w:tcW w:w="1194" w:type="pct"/>
          </w:tcPr>
          <w:p w14:paraId="07FB6FB7"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4130</w:t>
            </w:r>
          </w:p>
        </w:tc>
      </w:tr>
      <w:tr w:rsidR="005F5304" w:rsidRPr="003506E5" w14:paraId="3669D955" w14:textId="77777777" w:rsidTr="00AD20D9">
        <w:trPr>
          <w:trHeight w:val="143"/>
        </w:trPr>
        <w:tc>
          <w:tcPr>
            <w:cnfStyle w:val="001000000000" w:firstRow="0" w:lastRow="0" w:firstColumn="1" w:lastColumn="0" w:oddVBand="0" w:evenVBand="0" w:oddHBand="0" w:evenHBand="0" w:firstRowFirstColumn="0" w:firstRowLastColumn="0" w:lastRowFirstColumn="0" w:lastRowLastColumn="0"/>
            <w:tcW w:w="1646" w:type="pct"/>
            <w:gridSpan w:val="2"/>
            <w:hideMark/>
          </w:tcPr>
          <w:p w14:paraId="2445EC78" w14:textId="77777777" w:rsidR="005F5304" w:rsidRPr="003506E5" w:rsidRDefault="005F5304" w:rsidP="00AD20D9">
            <w:pPr>
              <w:pStyle w:val="Tabletext"/>
            </w:pPr>
            <w:r w:rsidRPr="003506E5">
              <w:t>Total</w:t>
            </w:r>
          </w:p>
        </w:tc>
        <w:tc>
          <w:tcPr>
            <w:tcW w:w="1137" w:type="pct"/>
            <w:hideMark/>
          </w:tcPr>
          <w:p w14:paraId="298D8AFE"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b/>
                <w:color w:val="000000"/>
              </w:rPr>
            </w:pPr>
            <w:r w:rsidRPr="003506E5">
              <w:rPr>
                <w:b/>
                <w:color w:val="000000"/>
              </w:rPr>
              <w:t>5,480</w:t>
            </w:r>
          </w:p>
        </w:tc>
        <w:tc>
          <w:tcPr>
            <w:tcW w:w="1023" w:type="pct"/>
            <w:hideMark/>
          </w:tcPr>
          <w:p w14:paraId="3619EC1E"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b/>
                <w:color w:val="000000"/>
              </w:rPr>
            </w:pPr>
            <w:r w:rsidRPr="003506E5">
              <w:rPr>
                <w:b/>
                <w:color w:val="000000"/>
              </w:rPr>
              <w:t>5,340</w:t>
            </w:r>
          </w:p>
        </w:tc>
        <w:tc>
          <w:tcPr>
            <w:tcW w:w="1194" w:type="pct"/>
          </w:tcPr>
          <w:p w14:paraId="1B841D6F"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b/>
                <w:color w:val="000000"/>
              </w:rPr>
            </w:pPr>
            <w:r w:rsidRPr="003506E5">
              <w:rPr>
                <w:b/>
                <w:color w:val="000000"/>
              </w:rPr>
              <w:t>35667</w:t>
            </w:r>
          </w:p>
        </w:tc>
      </w:tr>
    </w:tbl>
    <w:p w14:paraId="15C35997" w14:textId="77777777" w:rsidR="005F5304" w:rsidRPr="003506E5" w:rsidRDefault="005F5304" w:rsidP="005F5304">
      <w:pPr>
        <w:pStyle w:val="BodyText"/>
        <w:spacing w:after="0"/>
      </w:pPr>
    </w:p>
    <w:p w14:paraId="0250A2D1" w14:textId="2BD69877" w:rsidR="005F5304" w:rsidRPr="003506E5" w:rsidRDefault="005F5304" w:rsidP="005D2822">
      <w:pPr>
        <w:pStyle w:val="BodyText"/>
        <w:spacing w:after="0"/>
      </w:pPr>
      <w:r w:rsidRPr="003506E5">
        <w:t xml:space="preserve">Overall, 97% of the target of enrolment of households has been achieved. In three union council – Bagrote, Nomal and Rahimabad the number of enrolled households are more than the initial target. It was due to migration of families </w:t>
      </w:r>
      <w:r w:rsidR="00B44248" w:rsidRPr="003506E5">
        <w:t>and</w:t>
      </w:r>
      <w:r w:rsidRPr="003506E5">
        <w:t xml:space="preserve"> errors in the addresses of the beneficiaries in data provided by BISP that was later rectified by the field workers of AKRSP who visited door to door in these union councils. </w:t>
      </w:r>
    </w:p>
    <w:p w14:paraId="6A82DECD" w14:textId="77777777" w:rsidR="005F5304" w:rsidRPr="003506E5" w:rsidRDefault="005F5304" w:rsidP="005F5304">
      <w:pPr>
        <w:pStyle w:val="BodyText"/>
        <w:spacing w:after="0"/>
      </w:pPr>
    </w:p>
    <w:p w14:paraId="39AA4521" w14:textId="5E3BEEDE" w:rsidR="005F5304" w:rsidRPr="003506E5" w:rsidRDefault="005F5304" w:rsidP="005F5304">
      <w:pPr>
        <w:pStyle w:val="Caption"/>
      </w:pPr>
      <w:bookmarkStart w:id="29" w:name="_Toc57215226"/>
      <w:r w:rsidRPr="003506E5">
        <w:t xml:space="preserve">Table </w:t>
      </w:r>
      <w:r w:rsidR="00B76041" w:rsidRPr="003506E5">
        <w:fldChar w:fldCharType="begin"/>
      </w:r>
      <w:r w:rsidRPr="003506E5">
        <w:instrText xml:space="preserve"> SEQ Table \* ARABIC </w:instrText>
      </w:r>
      <w:r w:rsidR="00B76041" w:rsidRPr="003506E5">
        <w:fldChar w:fldCharType="separate"/>
      </w:r>
      <w:r w:rsidR="00AE4FA0">
        <w:rPr>
          <w:noProof/>
        </w:rPr>
        <w:t>6</w:t>
      </w:r>
      <w:r w:rsidR="00B76041" w:rsidRPr="003506E5">
        <w:fldChar w:fldCharType="end"/>
      </w:r>
      <w:r w:rsidRPr="003506E5">
        <w:t>:</w:t>
      </w:r>
      <w:r w:rsidR="00EB1301" w:rsidRPr="003506E5">
        <w:t xml:space="preserve"> </w:t>
      </w:r>
      <w:r w:rsidRPr="003506E5">
        <w:t>Distribution of eligible beneficiaries by Gender and Age Group</w:t>
      </w:r>
      <w:bookmarkEnd w:id="29"/>
    </w:p>
    <w:tbl>
      <w:tblPr>
        <w:tblStyle w:val="OPMTable2019"/>
        <w:tblW w:w="5000" w:type="pct"/>
        <w:tblLook w:val="04A0" w:firstRow="1" w:lastRow="0" w:firstColumn="1" w:lastColumn="0" w:noHBand="0" w:noVBand="1"/>
      </w:tblPr>
      <w:tblGrid>
        <w:gridCol w:w="2666"/>
        <w:gridCol w:w="1484"/>
        <w:gridCol w:w="1680"/>
        <w:gridCol w:w="1592"/>
        <w:gridCol w:w="1592"/>
      </w:tblGrid>
      <w:tr w:rsidR="005F5304" w:rsidRPr="003506E5" w14:paraId="26DDCE5A" w14:textId="77777777" w:rsidTr="00AD20D9">
        <w:trPr>
          <w:cnfStyle w:val="100000000000" w:firstRow="1" w:lastRow="0" w:firstColumn="0" w:lastColumn="0" w:oddVBand="0" w:evenVBand="0" w:oddHBand="0"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1479" w:type="pct"/>
            <w:vMerge w:val="restart"/>
            <w:hideMark/>
          </w:tcPr>
          <w:p w14:paraId="542AC79F" w14:textId="77777777" w:rsidR="005F5304" w:rsidRPr="003506E5" w:rsidRDefault="005F5304" w:rsidP="00AD20D9">
            <w:pPr>
              <w:pStyle w:val="Tabletext"/>
            </w:pPr>
            <w:r w:rsidRPr="003506E5">
              <w:t>Age Group</w:t>
            </w:r>
          </w:p>
        </w:tc>
        <w:tc>
          <w:tcPr>
            <w:tcW w:w="1755" w:type="pct"/>
            <w:gridSpan w:val="2"/>
            <w:hideMark/>
          </w:tcPr>
          <w:p w14:paraId="0839074A" w14:textId="77777777" w:rsidR="005F5304" w:rsidRPr="003506E5" w:rsidRDefault="005F5304" w:rsidP="00AD20D9">
            <w:pPr>
              <w:pStyle w:val="Tabletext"/>
              <w:jc w:val="center"/>
              <w:cnfStyle w:val="100000000000" w:firstRow="1" w:lastRow="0" w:firstColumn="0" w:lastColumn="0" w:oddVBand="0" w:evenVBand="0" w:oddHBand="0" w:evenHBand="0" w:firstRowFirstColumn="0" w:firstRowLastColumn="0" w:lastRowFirstColumn="0" w:lastRowLastColumn="0"/>
            </w:pPr>
            <w:r w:rsidRPr="003506E5">
              <w:t>Eligible</w:t>
            </w:r>
          </w:p>
        </w:tc>
        <w:tc>
          <w:tcPr>
            <w:tcW w:w="883" w:type="pct"/>
            <w:vMerge w:val="restart"/>
            <w:hideMark/>
          </w:tcPr>
          <w:p w14:paraId="0ED96446" w14:textId="77777777" w:rsidR="005F5304" w:rsidRPr="003506E5" w:rsidRDefault="005F5304" w:rsidP="00AD20D9">
            <w:pPr>
              <w:pStyle w:val="Tabletext"/>
              <w:jc w:val="center"/>
              <w:cnfStyle w:val="100000000000" w:firstRow="1" w:lastRow="0" w:firstColumn="0" w:lastColumn="0" w:oddVBand="0" w:evenVBand="0" w:oddHBand="0" w:evenHBand="0" w:firstRowFirstColumn="0" w:firstRowLastColumn="0" w:lastRowFirstColumn="0" w:lastRowLastColumn="0"/>
            </w:pPr>
            <w:r w:rsidRPr="003506E5">
              <w:t>Total</w:t>
            </w:r>
          </w:p>
        </w:tc>
        <w:tc>
          <w:tcPr>
            <w:tcW w:w="883" w:type="pct"/>
            <w:vMerge w:val="restart"/>
          </w:tcPr>
          <w:p w14:paraId="44E8825C" w14:textId="77777777" w:rsidR="005F5304" w:rsidRPr="003506E5" w:rsidRDefault="005F5304" w:rsidP="00AD20D9">
            <w:pPr>
              <w:pStyle w:val="Tabletext"/>
              <w:jc w:val="center"/>
              <w:cnfStyle w:val="100000000000" w:firstRow="1" w:lastRow="0" w:firstColumn="0" w:lastColumn="0" w:oddVBand="0" w:evenVBand="0" w:oddHBand="0" w:evenHBand="0" w:firstRowFirstColumn="0" w:firstRowLastColumn="0" w:lastRowFirstColumn="0" w:lastRowLastColumn="0"/>
            </w:pPr>
            <w:r w:rsidRPr="003506E5">
              <w:t>% by Age Group</w:t>
            </w:r>
          </w:p>
        </w:tc>
      </w:tr>
      <w:tr w:rsidR="005F5304" w:rsidRPr="003506E5" w14:paraId="65F1B50D" w14:textId="77777777" w:rsidTr="00AD20D9">
        <w:trPr>
          <w:trHeight w:val="269"/>
        </w:trPr>
        <w:tc>
          <w:tcPr>
            <w:cnfStyle w:val="001000000000" w:firstRow="0" w:lastRow="0" w:firstColumn="1" w:lastColumn="0" w:oddVBand="0" w:evenVBand="0" w:oddHBand="0" w:evenHBand="0" w:firstRowFirstColumn="0" w:firstRowLastColumn="0" w:lastRowFirstColumn="0" w:lastRowLastColumn="0"/>
            <w:tcW w:w="1479" w:type="pct"/>
            <w:vMerge/>
            <w:hideMark/>
          </w:tcPr>
          <w:p w14:paraId="26421EC0" w14:textId="77777777" w:rsidR="005F5304" w:rsidRPr="003506E5" w:rsidRDefault="005F5304" w:rsidP="00AD20D9">
            <w:pPr>
              <w:pStyle w:val="Tabletext"/>
            </w:pPr>
          </w:p>
        </w:tc>
        <w:tc>
          <w:tcPr>
            <w:tcW w:w="823" w:type="pct"/>
            <w:shd w:val="clear" w:color="auto" w:fill="0A1F50" w:themeFill="text2"/>
            <w:hideMark/>
          </w:tcPr>
          <w:p w14:paraId="51A26D3D"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3506E5">
              <w:rPr>
                <w:b/>
                <w:bCs/>
              </w:rPr>
              <w:t>Male</w:t>
            </w:r>
          </w:p>
        </w:tc>
        <w:tc>
          <w:tcPr>
            <w:tcW w:w="932" w:type="pct"/>
            <w:shd w:val="clear" w:color="auto" w:fill="0A1F50" w:themeFill="text2"/>
            <w:hideMark/>
          </w:tcPr>
          <w:p w14:paraId="5F458D8E"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3506E5">
              <w:rPr>
                <w:b/>
                <w:bCs/>
              </w:rPr>
              <w:t>Female</w:t>
            </w:r>
          </w:p>
        </w:tc>
        <w:tc>
          <w:tcPr>
            <w:tcW w:w="883" w:type="pct"/>
            <w:vMerge/>
            <w:hideMark/>
          </w:tcPr>
          <w:p w14:paraId="0A547CF8"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pPr>
          </w:p>
        </w:tc>
        <w:tc>
          <w:tcPr>
            <w:tcW w:w="883" w:type="pct"/>
            <w:vMerge/>
          </w:tcPr>
          <w:p w14:paraId="664AFDA6"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pPr>
          </w:p>
        </w:tc>
      </w:tr>
      <w:tr w:rsidR="005F5304" w:rsidRPr="003506E5" w14:paraId="1B926BC7" w14:textId="77777777" w:rsidTr="00AD20D9">
        <w:trPr>
          <w:trHeight w:val="257"/>
        </w:trPr>
        <w:tc>
          <w:tcPr>
            <w:cnfStyle w:val="001000000000" w:firstRow="0" w:lastRow="0" w:firstColumn="1" w:lastColumn="0" w:oddVBand="0" w:evenVBand="0" w:oddHBand="0" w:evenHBand="0" w:firstRowFirstColumn="0" w:firstRowLastColumn="0" w:lastRowFirstColumn="0" w:lastRowLastColumn="0"/>
            <w:tcW w:w="1479" w:type="pct"/>
            <w:hideMark/>
          </w:tcPr>
          <w:p w14:paraId="04BB9535" w14:textId="77777777" w:rsidR="005F5304" w:rsidRPr="003506E5" w:rsidRDefault="005F5304" w:rsidP="00AD20D9">
            <w:pPr>
              <w:pStyle w:val="Tabletext"/>
            </w:pPr>
            <w:r w:rsidRPr="003506E5">
              <w:t xml:space="preserve">less than 1  </w:t>
            </w:r>
          </w:p>
        </w:tc>
        <w:tc>
          <w:tcPr>
            <w:tcW w:w="823" w:type="pct"/>
            <w:hideMark/>
          </w:tcPr>
          <w:p w14:paraId="2B57D1CB"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92</w:t>
            </w:r>
          </w:p>
        </w:tc>
        <w:tc>
          <w:tcPr>
            <w:tcW w:w="932" w:type="pct"/>
            <w:hideMark/>
          </w:tcPr>
          <w:p w14:paraId="631833C8"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82</w:t>
            </w:r>
          </w:p>
        </w:tc>
        <w:tc>
          <w:tcPr>
            <w:tcW w:w="883" w:type="pct"/>
            <w:hideMark/>
          </w:tcPr>
          <w:p w14:paraId="32877419"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174</w:t>
            </w:r>
          </w:p>
        </w:tc>
        <w:tc>
          <w:tcPr>
            <w:tcW w:w="883" w:type="pct"/>
          </w:tcPr>
          <w:p w14:paraId="117DA0E7"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0.5%</w:t>
            </w:r>
          </w:p>
        </w:tc>
      </w:tr>
      <w:tr w:rsidR="005F5304" w:rsidRPr="003506E5" w14:paraId="2FA6DF9A" w14:textId="77777777" w:rsidTr="00AD20D9">
        <w:trPr>
          <w:trHeight w:val="257"/>
        </w:trPr>
        <w:tc>
          <w:tcPr>
            <w:cnfStyle w:val="001000000000" w:firstRow="0" w:lastRow="0" w:firstColumn="1" w:lastColumn="0" w:oddVBand="0" w:evenVBand="0" w:oddHBand="0" w:evenHBand="0" w:firstRowFirstColumn="0" w:firstRowLastColumn="0" w:lastRowFirstColumn="0" w:lastRowLastColumn="0"/>
            <w:tcW w:w="1479" w:type="pct"/>
            <w:hideMark/>
          </w:tcPr>
          <w:p w14:paraId="5B3D6B10" w14:textId="77777777" w:rsidR="005F5304" w:rsidRPr="003506E5" w:rsidRDefault="005F5304" w:rsidP="00AD20D9">
            <w:pPr>
              <w:pStyle w:val="Tabletext"/>
            </w:pPr>
            <w:r w:rsidRPr="003506E5">
              <w:t>1 to 04 yrs.</w:t>
            </w:r>
          </w:p>
        </w:tc>
        <w:tc>
          <w:tcPr>
            <w:tcW w:w="823" w:type="pct"/>
            <w:hideMark/>
          </w:tcPr>
          <w:p w14:paraId="5E412060"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926</w:t>
            </w:r>
          </w:p>
        </w:tc>
        <w:tc>
          <w:tcPr>
            <w:tcW w:w="932" w:type="pct"/>
            <w:hideMark/>
          </w:tcPr>
          <w:p w14:paraId="0383DB5F"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839</w:t>
            </w:r>
          </w:p>
        </w:tc>
        <w:tc>
          <w:tcPr>
            <w:tcW w:w="883" w:type="pct"/>
            <w:hideMark/>
          </w:tcPr>
          <w:p w14:paraId="74836C7A"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1765</w:t>
            </w:r>
          </w:p>
        </w:tc>
        <w:tc>
          <w:tcPr>
            <w:tcW w:w="883" w:type="pct"/>
          </w:tcPr>
          <w:p w14:paraId="70E58186"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4.9%</w:t>
            </w:r>
          </w:p>
        </w:tc>
      </w:tr>
      <w:tr w:rsidR="005F5304" w:rsidRPr="003506E5" w14:paraId="32B16489" w14:textId="77777777" w:rsidTr="00AD20D9">
        <w:trPr>
          <w:trHeight w:val="257"/>
        </w:trPr>
        <w:tc>
          <w:tcPr>
            <w:cnfStyle w:val="001000000000" w:firstRow="0" w:lastRow="0" w:firstColumn="1" w:lastColumn="0" w:oddVBand="0" w:evenVBand="0" w:oddHBand="0" w:evenHBand="0" w:firstRowFirstColumn="0" w:firstRowLastColumn="0" w:lastRowFirstColumn="0" w:lastRowLastColumn="0"/>
            <w:tcW w:w="1479" w:type="pct"/>
            <w:noWrap/>
            <w:hideMark/>
          </w:tcPr>
          <w:p w14:paraId="2FDCDC68" w14:textId="77777777" w:rsidR="005F5304" w:rsidRPr="003506E5" w:rsidRDefault="005F5304" w:rsidP="00AD20D9">
            <w:pPr>
              <w:pStyle w:val="Tabletext"/>
            </w:pPr>
            <w:r w:rsidRPr="003506E5">
              <w:t>5 to 14 yrs.</w:t>
            </w:r>
          </w:p>
        </w:tc>
        <w:tc>
          <w:tcPr>
            <w:tcW w:w="823" w:type="pct"/>
            <w:noWrap/>
            <w:hideMark/>
          </w:tcPr>
          <w:p w14:paraId="470043DE"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6977</w:t>
            </w:r>
          </w:p>
        </w:tc>
        <w:tc>
          <w:tcPr>
            <w:tcW w:w="932" w:type="pct"/>
            <w:noWrap/>
            <w:hideMark/>
          </w:tcPr>
          <w:p w14:paraId="70387D6D"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6543</w:t>
            </w:r>
          </w:p>
        </w:tc>
        <w:tc>
          <w:tcPr>
            <w:tcW w:w="883" w:type="pct"/>
            <w:hideMark/>
          </w:tcPr>
          <w:p w14:paraId="4230C060"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13520</w:t>
            </w:r>
          </w:p>
        </w:tc>
        <w:tc>
          <w:tcPr>
            <w:tcW w:w="883" w:type="pct"/>
          </w:tcPr>
          <w:p w14:paraId="6350ED6D"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37.9%</w:t>
            </w:r>
          </w:p>
        </w:tc>
      </w:tr>
      <w:tr w:rsidR="005F5304" w:rsidRPr="003506E5" w14:paraId="5793951A" w14:textId="77777777" w:rsidTr="00AD20D9">
        <w:trPr>
          <w:trHeight w:val="257"/>
        </w:trPr>
        <w:tc>
          <w:tcPr>
            <w:cnfStyle w:val="001000000000" w:firstRow="0" w:lastRow="0" w:firstColumn="1" w:lastColumn="0" w:oddVBand="0" w:evenVBand="0" w:oddHBand="0" w:evenHBand="0" w:firstRowFirstColumn="0" w:firstRowLastColumn="0" w:lastRowFirstColumn="0" w:lastRowLastColumn="0"/>
            <w:tcW w:w="1479" w:type="pct"/>
            <w:hideMark/>
          </w:tcPr>
          <w:p w14:paraId="5A6AB1DC" w14:textId="77777777" w:rsidR="005F5304" w:rsidRPr="003506E5" w:rsidRDefault="005F5304" w:rsidP="00AD20D9">
            <w:pPr>
              <w:pStyle w:val="Tabletext"/>
            </w:pPr>
            <w:r w:rsidRPr="003506E5">
              <w:t>15 to 49 yrs.</w:t>
            </w:r>
          </w:p>
        </w:tc>
        <w:tc>
          <w:tcPr>
            <w:tcW w:w="823" w:type="pct"/>
            <w:hideMark/>
          </w:tcPr>
          <w:p w14:paraId="4A3639CF"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6976</w:t>
            </w:r>
          </w:p>
        </w:tc>
        <w:tc>
          <w:tcPr>
            <w:tcW w:w="932" w:type="pct"/>
            <w:hideMark/>
          </w:tcPr>
          <w:p w14:paraId="1D54A1D4"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6366</w:t>
            </w:r>
          </w:p>
        </w:tc>
        <w:tc>
          <w:tcPr>
            <w:tcW w:w="883" w:type="pct"/>
            <w:hideMark/>
          </w:tcPr>
          <w:p w14:paraId="52D0FD82"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13342</w:t>
            </w:r>
          </w:p>
        </w:tc>
        <w:tc>
          <w:tcPr>
            <w:tcW w:w="883" w:type="pct"/>
          </w:tcPr>
          <w:p w14:paraId="369A469C"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37.4%</w:t>
            </w:r>
          </w:p>
        </w:tc>
      </w:tr>
      <w:tr w:rsidR="005F5304" w:rsidRPr="003506E5" w14:paraId="1C39851D" w14:textId="77777777" w:rsidTr="00AD20D9">
        <w:trPr>
          <w:trHeight w:val="257"/>
        </w:trPr>
        <w:tc>
          <w:tcPr>
            <w:cnfStyle w:val="001000000000" w:firstRow="0" w:lastRow="0" w:firstColumn="1" w:lastColumn="0" w:oddVBand="0" w:evenVBand="0" w:oddHBand="0" w:evenHBand="0" w:firstRowFirstColumn="0" w:firstRowLastColumn="0" w:lastRowFirstColumn="0" w:lastRowLastColumn="0"/>
            <w:tcW w:w="1479" w:type="pct"/>
            <w:noWrap/>
            <w:hideMark/>
          </w:tcPr>
          <w:p w14:paraId="53CBFCC2" w14:textId="77777777" w:rsidR="005F5304" w:rsidRPr="003506E5" w:rsidRDefault="005F5304" w:rsidP="00AD20D9">
            <w:pPr>
              <w:pStyle w:val="Tabletext"/>
            </w:pPr>
            <w:r w:rsidRPr="003506E5">
              <w:t>50 to 69 yrs.</w:t>
            </w:r>
          </w:p>
        </w:tc>
        <w:tc>
          <w:tcPr>
            <w:tcW w:w="823" w:type="pct"/>
            <w:noWrap/>
            <w:hideMark/>
          </w:tcPr>
          <w:p w14:paraId="53AC710C"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3261</w:t>
            </w:r>
          </w:p>
        </w:tc>
        <w:tc>
          <w:tcPr>
            <w:tcW w:w="932" w:type="pct"/>
            <w:noWrap/>
            <w:hideMark/>
          </w:tcPr>
          <w:p w14:paraId="1979B9A5"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2832</w:t>
            </w:r>
          </w:p>
        </w:tc>
        <w:tc>
          <w:tcPr>
            <w:tcW w:w="883" w:type="pct"/>
            <w:hideMark/>
          </w:tcPr>
          <w:p w14:paraId="6DD3B213"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6093</w:t>
            </w:r>
          </w:p>
        </w:tc>
        <w:tc>
          <w:tcPr>
            <w:tcW w:w="883" w:type="pct"/>
          </w:tcPr>
          <w:p w14:paraId="6D637983"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17.1%</w:t>
            </w:r>
          </w:p>
        </w:tc>
      </w:tr>
      <w:tr w:rsidR="005F5304" w:rsidRPr="003506E5" w14:paraId="24B3D087" w14:textId="77777777" w:rsidTr="00AD20D9">
        <w:trPr>
          <w:trHeight w:val="257"/>
        </w:trPr>
        <w:tc>
          <w:tcPr>
            <w:cnfStyle w:val="001000000000" w:firstRow="0" w:lastRow="0" w:firstColumn="1" w:lastColumn="0" w:oddVBand="0" w:evenVBand="0" w:oddHBand="0" w:evenHBand="0" w:firstRowFirstColumn="0" w:firstRowLastColumn="0" w:lastRowFirstColumn="0" w:lastRowLastColumn="0"/>
            <w:tcW w:w="1479" w:type="pct"/>
            <w:noWrap/>
            <w:hideMark/>
          </w:tcPr>
          <w:p w14:paraId="65B45A03" w14:textId="77777777" w:rsidR="005F5304" w:rsidRPr="003506E5" w:rsidRDefault="005F5304" w:rsidP="00AD20D9">
            <w:pPr>
              <w:pStyle w:val="Tabletext"/>
            </w:pPr>
            <w:r w:rsidRPr="003506E5">
              <w:t xml:space="preserve">70 yrs.&amp; above </w:t>
            </w:r>
          </w:p>
        </w:tc>
        <w:tc>
          <w:tcPr>
            <w:tcW w:w="823" w:type="pct"/>
            <w:noWrap/>
            <w:hideMark/>
          </w:tcPr>
          <w:p w14:paraId="52EE12EF"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354</w:t>
            </w:r>
          </w:p>
        </w:tc>
        <w:tc>
          <w:tcPr>
            <w:tcW w:w="932" w:type="pct"/>
            <w:noWrap/>
            <w:hideMark/>
          </w:tcPr>
          <w:p w14:paraId="12593F9B"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419</w:t>
            </w:r>
          </w:p>
        </w:tc>
        <w:tc>
          <w:tcPr>
            <w:tcW w:w="883" w:type="pct"/>
            <w:hideMark/>
          </w:tcPr>
          <w:p w14:paraId="04E9DC8D"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773</w:t>
            </w:r>
          </w:p>
        </w:tc>
        <w:tc>
          <w:tcPr>
            <w:tcW w:w="883" w:type="pct"/>
          </w:tcPr>
          <w:p w14:paraId="1ABECC64"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2.2%</w:t>
            </w:r>
          </w:p>
        </w:tc>
      </w:tr>
      <w:tr w:rsidR="005F5304" w:rsidRPr="003506E5" w14:paraId="2B2058D6" w14:textId="77777777" w:rsidTr="00AD20D9">
        <w:trPr>
          <w:trHeight w:val="269"/>
        </w:trPr>
        <w:tc>
          <w:tcPr>
            <w:cnfStyle w:val="001000000000" w:firstRow="0" w:lastRow="0" w:firstColumn="1" w:lastColumn="0" w:oddVBand="0" w:evenVBand="0" w:oddHBand="0" w:evenHBand="0" w:firstRowFirstColumn="0" w:firstRowLastColumn="0" w:lastRowFirstColumn="0" w:lastRowLastColumn="0"/>
            <w:tcW w:w="1479" w:type="pct"/>
            <w:hideMark/>
          </w:tcPr>
          <w:p w14:paraId="2153875D" w14:textId="77777777" w:rsidR="005F5304" w:rsidRPr="003506E5" w:rsidRDefault="005F5304" w:rsidP="00AD20D9">
            <w:pPr>
              <w:pStyle w:val="Tabletext"/>
            </w:pPr>
            <w:r w:rsidRPr="003506E5">
              <w:t>Total</w:t>
            </w:r>
          </w:p>
        </w:tc>
        <w:tc>
          <w:tcPr>
            <w:tcW w:w="823" w:type="pct"/>
            <w:hideMark/>
          </w:tcPr>
          <w:p w14:paraId="1C7CB6BB"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b/>
                <w:color w:val="000000"/>
              </w:rPr>
            </w:pPr>
            <w:r w:rsidRPr="003506E5">
              <w:rPr>
                <w:b/>
                <w:color w:val="000000"/>
              </w:rPr>
              <w:t>18586</w:t>
            </w:r>
          </w:p>
        </w:tc>
        <w:tc>
          <w:tcPr>
            <w:tcW w:w="932" w:type="pct"/>
            <w:hideMark/>
          </w:tcPr>
          <w:p w14:paraId="777AE365"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b/>
                <w:color w:val="000000"/>
              </w:rPr>
            </w:pPr>
            <w:r w:rsidRPr="003506E5">
              <w:rPr>
                <w:b/>
                <w:color w:val="000000"/>
              </w:rPr>
              <w:t>17081</w:t>
            </w:r>
          </w:p>
        </w:tc>
        <w:tc>
          <w:tcPr>
            <w:tcW w:w="883" w:type="pct"/>
            <w:hideMark/>
          </w:tcPr>
          <w:p w14:paraId="40729420"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b/>
                <w:color w:val="000000"/>
              </w:rPr>
            </w:pPr>
            <w:r w:rsidRPr="003506E5">
              <w:rPr>
                <w:b/>
                <w:color w:val="000000"/>
              </w:rPr>
              <w:t>35667</w:t>
            </w:r>
          </w:p>
        </w:tc>
        <w:tc>
          <w:tcPr>
            <w:tcW w:w="883" w:type="pct"/>
          </w:tcPr>
          <w:p w14:paraId="06A961FA"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b/>
                <w:color w:val="000000"/>
              </w:rPr>
            </w:pPr>
            <w:r w:rsidRPr="003506E5">
              <w:rPr>
                <w:b/>
                <w:color w:val="000000"/>
              </w:rPr>
              <w:t>100%</w:t>
            </w:r>
          </w:p>
        </w:tc>
      </w:tr>
    </w:tbl>
    <w:p w14:paraId="12FCD93F" w14:textId="77777777" w:rsidR="005F5304" w:rsidRPr="003506E5" w:rsidRDefault="005F5304" w:rsidP="005F5304">
      <w:pPr>
        <w:pStyle w:val="BodyText"/>
        <w:spacing w:after="0"/>
      </w:pPr>
    </w:p>
    <w:p w14:paraId="0926EEA7" w14:textId="459D2EEE" w:rsidR="005F5304" w:rsidRPr="003506E5" w:rsidRDefault="005F5304" w:rsidP="00357467">
      <w:pPr>
        <w:pStyle w:val="BodyText"/>
      </w:pPr>
      <w:r w:rsidRPr="003506E5">
        <w:t>In the enrolled population, 48% are women beneficiaries</w:t>
      </w:r>
      <w:r w:rsidR="002F2B5E" w:rsidRPr="003506E5">
        <w:t>, other important findings of the population characteristics will be discussed after presenting the similar distribution of population who bought the insurance voluntarily (wider population beneficiaries)</w:t>
      </w:r>
      <w:r w:rsidR="00357467" w:rsidRPr="003506E5">
        <w:t>.</w:t>
      </w:r>
      <w:r w:rsidRPr="003506E5">
        <w:t xml:space="preserve"> </w:t>
      </w:r>
    </w:p>
    <w:p w14:paraId="02C6F56D" w14:textId="20772AB8" w:rsidR="005F5304" w:rsidRPr="003506E5" w:rsidRDefault="005F5304" w:rsidP="005F5304">
      <w:pPr>
        <w:pStyle w:val="BodyText"/>
      </w:pPr>
      <w:r w:rsidRPr="003506E5">
        <w:rPr>
          <w:rFonts w:ascii="TimesNewRoman" w:hAnsi="TimesNewRoman"/>
        </w:rPr>
        <w:t> </w:t>
      </w:r>
    </w:p>
    <w:p w14:paraId="25C200DC" w14:textId="77777777" w:rsidR="005F5304" w:rsidRPr="003506E5" w:rsidRDefault="005F5304" w:rsidP="005F5304">
      <w:pPr>
        <w:pStyle w:val="Heading1"/>
      </w:pPr>
      <w:bookmarkStart w:id="30" w:name="_Toc57215284"/>
      <w:r w:rsidRPr="003506E5">
        <w:lastRenderedPageBreak/>
        <w:t xml:space="preserve">Enrolment of Paying </w:t>
      </w:r>
      <w:r w:rsidR="002E3BC6" w:rsidRPr="003506E5">
        <w:t>B</w:t>
      </w:r>
      <w:r w:rsidRPr="003506E5">
        <w:t>eneficiaries</w:t>
      </w:r>
      <w:r w:rsidR="002E3BC6" w:rsidRPr="003506E5">
        <w:t xml:space="preserve"> in GB</w:t>
      </w:r>
      <w:bookmarkEnd w:id="30"/>
    </w:p>
    <w:p w14:paraId="1EA7BC7C" w14:textId="13F85741" w:rsidR="005F5304" w:rsidRPr="003506E5" w:rsidRDefault="005F5304" w:rsidP="00EF731C">
      <w:pPr>
        <w:pStyle w:val="BodyText"/>
      </w:pPr>
      <w:r w:rsidRPr="003506E5">
        <w:t xml:space="preserve">In addition to compulsory enrolment of ‘eligible’ households, AKDN, under the contract, is bound to enrol 29% of households from the remaining 79% population with PMT scores of above 16.17 over a period of five years. Enrolment for this section of population is called as “wider enrolment”. Jubilee Life with the help of AKRSP marketed a health insurance product for wider enrolment to be purchased by households voluntarily for their household members. </w:t>
      </w:r>
      <w:r w:rsidR="001A5627" w:rsidRPr="003506E5">
        <w:t>A total of 600 new households were insured under the wider enrolment</w:t>
      </w:r>
      <w:r w:rsidR="00EF731C" w:rsidRPr="003506E5">
        <w:t xml:space="preserve"> during the reporting period</w:t>
      </w:r>
      <w:r w:rsidR="001A5627" w:rsidRPr="003506E5">
        <w:t>. Project</w:t>
      </w:r>
      <w:r w:rsidR="00EF731C" w:rsidRPr="003506E5">
        <w:t xml:space="preserve"> has, so far,</w:t>
      </w:r>
      <w:r w:rsidR="001A5627" w:rsidRPr="003506E5">
        <w:t xml:space="preserve"> achieved 102% of wider enrolment target</w:t>
      </w:r>
      <w:r w:rsidR="005D6955" w:rsidRPr="003506E5">
        <w:t xml:space="preserve">. Project is making significant progress in wider enrolment. Seemingly, it </w:t>
      </w:r>
      <w:r w:rsidR="00EF731C" w:rsidRPr="003506E5">
        <w:t>is</w:t>
      </w:r>
      <w:r w:rsidR="005D6955" w:rsidRPr="003506E5">
        <w:t xml:space="preserve"> due to increased awareness and persistently sharing of information about the SHPI’s insurance product has changed people’s </w:t>
      </w:r>
      <w:r w:rsidR="00EF731C" w:rsidRPr="003506E5">
        <w:t>perceptions</w:t>
      </w:r>
      <w:r w:rsidR="005D6955" w:rsidRPr="003506E5">
        <w:t xml:space="preserve"> regarding health and improved health seeking attitude.  </w:t>
      </w:r>
    </w:p>
    <w:p w14:paraId="23F6B33F" w14:textId="1CD284D6" w:rsidR="005F5304" w:rsidRPr="003506E5" w:rsidRDefault="005F5304" w:rsidP="005F5304">
      <w:pPr>
        <w:pStyle w:val="BodyText"/>
      </w:pPr>
      <w:r w:rsidRPr="003506E5">
        <w:t xml:space="preserve">The following table gives the </w:t>
      </w:r>
      <w:r w:rsidR="00EF731C" w:rsidRPr="003506E5">
        <w:t xml:space="preserve">updated information on </w:t>
      </w:r>
      <w:r w:rsidRPr="003506E5">
        <w:t xml:space="preserve">enrolment of self-paying beneficiaries in the programme population. </w:t>
      </w:r>
    </w:p>
    <w:p w14:paraId="4A473554" w14:textId="3FB992F7" w:rsidR="005F5304" w:rsidRPr="003506E5" w:rsidRDefault="005F5304" w:rsidP="005F5304">
      <w:pPr>
        <w:pStyle w:val="Caption"/>
      </w:pPr>
      <w:bookmarkStart w:id="31" w:name="_Toc57215227"/>
      <w:r w:rsidRPr="003506E5">
        <w:t xml:space="preserve">Table </w:t>
      </w:r>
      <w:r w:rsidR="00B76041" w:rsidRPr="003506E5">
        <w:fldChar w:fldCharType="begin"/>
      </w:r>
      <w:r w:rsidRPr="003506E5">
        <w:instrText xml:space="preserve"> SEQ Table \* ARABIC </w:instrText>
      </w:r>
      <w:r w:rsidR="00B76041" w:rsidRPr="003506E5">
        <w:fldChar w:fldCharType="separate"/>
      </w:r>
      <w:r w:rsidR="00AE4FA0">
        <w:rPr>
          <w:noProof/>
        </w:rPr>
        <w:t>7</w:t>
      </w:r>
      <w:r w:rsidR="00B76041" w:rsidRPr="003506E5">
        <w:fldChar w:fldCharType="end"/>
      </w:r>
      <w:r w:rsidRPr="003506E5">
        <w:t>:</w:t>
      </w:r>
      <w:r w:rsidR="00EB1301" w:rsidRPr="003506E5">
        <w:t xml:space="preserve"> </w:t>
      </w:r>
      <w:r w:rsidRPr="003506E5">
        <w:t>Enrolment of wider population since inception of SHPI</w:t>
      </w:r>
      <w:bookmarkEnd w:id="31"/>
    </w:p>
    <w:tbl>
      <w:tblPr>
        <w:tblW w:w="9025" w:type="dxa"/>
        <w:tblLayout w:type="fixed"/>
        <w:tblLook w:val="04A0" w:firstRow="1" w:lastRow="0" w:firstColumn="1" w:lastColumn="0" w:noHBand="0" w:noVBand="1"/>
      </w:tblPr>
      <w:tblGrid>
        <w:gridCol w:w="1610"/>
        <w:gridCol w:w="1328"/>
        <w:gridCol w:w="1435"/>
        <w:gridCol w:w="1487"/>
        <w:gridCol w:w="1487"/>
        <w:gridCol w:w="1678"/>
      </w:tblGrid>
      <w:tr w:rsidR="001A5627" w:rsidRPr="003506E5" w14:paraId="3FFDF0DC" w14:textId="77777777" w:rsidTr="00357467">
        <w:trPr>
          <w:trHeight w:val="1231"/>
        </w:trPr>
        <w:tc>
          <w:tcPr>
            <w:tcW w:w="1610" w:type="dxa"/>
            <w:tcBorders>
              <w:top w:val="single" w:sz="8" w:space="0" w:color="45A7E1"/>
              <w:left w:val="single" w:sz="8" w:space="0" w:color="45A7E1"/>
              <w:bottom w:val="single" w:sz="8" w:space="0" w:color="45A7E1"/>
              <w:right w:val="single" w:sz="8" w:space="0" w:color="45A7E1"/>
            </w:tcBorders>
            <w:shd w:val="clear" w:color="000000" w:fill="0B1F51"/>
            <w:vAlign w:val="center"/>
            <w:hideMark/>
          </w:tcPr>
          <w:p w14:paraId="0494AC40" w14:textId="77777777" w:rsidR="001A5627" w:rsidRPr="003506E5" w:rsidRDefault="001A5627" w:rsidP="001A5627">
            <w:pPr>
              <w:spacing w:after="0" w:line="240" w:lineRule="auto"/>
              <w:jc w:val="both"/>
              <w:rPr>
                <w:rFonts w:eastAsia="Times New Roman"/>
                <w:b/>
                <w:bCs/>
                <w:color w:val="FFFFFF"/>
                <w:sz w:val="20"/>
                <w:szCs w:val="20"/>
                <w:lang w:eastAsia="en-US"/>
              </w:rPr>
            </w:pPr>
            <w:r w:rsidRPr="003506E5">
              <w:rPr>
                <w:rFonts w:eastAsia="Times New Roman"/>
                <w:b/>
                <w:bCs/>
                <w:color w:val="FFFFFF" w:themeColor="background1"/>
                <w:sz w:val="20"/>
                <w:szCs w:val="20"/>
                <w:lang w:eastAsia="en-US"/>
              </w:rPr>
              <w:t>Period</w:t>
            </w:r>
          </w:p>
        </w:tc>
        <w:tc>
          <w:tcPr>
            <w:tcW w:w="1328" w:type="dxa"/>
            <w:tcBorders>
              <w:top w:val="single" w:sz="8" w:space="0" w:color="45A7E1"/>
              <w:left w:val="nil"/>
              <w:bottom w:val="single" w:sz="8" w:space="0" w:color="45A7E1"/>
              <w:right w:val="single" w:sz="8" w:space="0" w:color="45A7E1"/>
            </w:tcBorders>
            <w:shd w:val="clear" w:color="000000" w:fill="0B1F51"/>
            <w:vAlign w:val="center"/>
            <w:hideMark/>
          </w:tcPr>
          <w:p w14:paraId="56A0CD52" w14:textId="77777777" w:rsidR="001A5627" w:rsidRPr="003506E5" w:rsidRDefault="001A5627" w:rsidP="001A5627">
            <w:pPr>
              <w:spacing w:after="0" w:line="240" w:lineRule="auto"/>
              <w:jc w:val="center"/>
              <w:rPr>
                <w:rFonts w:eastAsia="Times New Roman"/>
                <w:b/>
                <w:bCs/>
                <w:color w:val="FFFFFF"/>
                <w:sz w:val="20"/>
                <w:szCs w:val="20"/>
                <w:lang w:eastAsia="en-US"/>
              </w:rPr>
            </w:pPr>
            <w:r w:rsidRPr="003506E5">
              <w:rPr>
                <w:rFonts w:eastAsia="Times New Roman"/>
                <w:b/>
                <w:bCs/>
                <w:color w:val="FFFFFF" w:themeColor="background1"/>
                <w:sz w:val="20"/>
                <w:szCs w:val="20"/>
                <w:lang w:eastAsia="en-US"/>
              </w:rPr>
              <w:t>Household Enrolled</w:t>
            </w:r>
          </w:p>
        </w:tc>
        <w:tc>
          <w:tcPr>
            <w:tcW w:w="1435" w:type="dxa"/>
            <w:tcBorders>
              <w:top w:val="single" w:sz="8" w:space="0" w:color="45A7E1"/>
              <w:left w:val="nil"/>
              <w:bottom w:val="single" w:sz="8" w:space="0" w:color="45A7E1"/>
              <w:right w:val="single" w:sz="8" w:space="0" w:color="45A7E1"/>
            </w:tcBorders>
            <w:shd w:val="clear" w:color="000000" w:fill="0B1F51"/>
            <w:vAlign w:val="center"/>
            <w:hideMark/>
          </w:tcPr>
          <w:p w14:paraId="71F193DC" w14:textId="77777777" w:rsidR="001A5627" w:rsidRPr="003506E5" w:rsidRDefault="001A5627" w:rsidP="001A5627">
            <w:pPr>
              <w:spacing w:after="0" w:line="240" w:lineRule="auto"/>
              <w:jc w:val="center"/>
              <w:rPr>
                <w:rFonts w:eastAsia="Times New Roman"/>
                <w:b/>
                <w:bCs/>
                <w:color w:val="FFFFFF"/>
                <w:sz w:val="20"/>
                <w:szCs w:val="20"/>
                <w:lang w:eastAsia="en-US"/>
              </w:rPr>
            </w:pPr>
            <w:r w:rsidRPr="003506E5">
              <w:rPr>
                <w:rFonts w:eastAsia="Times New Roman"/>
                <w:b/>
                <w:bCs/>
                <w:color w:val="FFFFFF" w:themeColor="background1"/>
                <w:sz w:val="20"/>
                <w:szCs w:val="20"/>
                <w:lang w:eastAsia="en-US"/>
              </w:rPr>
              <w:t>Population</w:t>
            </w:r>
          </w:p>
        </w:tc>
        <w:tc>
          <w:tcPr>
            <w:tcW w:w="1487" w:type="dxa"/>
            <w:tcBorders>
              <w:top w:val="single" w:sz="8" w:space="0" w:color="45A7E1"/>
              <w:left w:val="nil"/>
              <w:bottom w:val="single" w:sz="8" w:space="0" w:color="45A7E1"/>
              <w:right w:val="single" w:sz="8" w:space="0" w:color="45A7E1"/>
            </w:tcBorders>
            <w:shd w:val="clear" w:color="000000" w:fill="0B1F51"/>
            <w:vAlign w:val="center"/>
            <w:hideMark/>
          </w:tcPr>
          <w:p w14:paraId="5BC24D4A" w14:textId="77777777" w:rsidR="001A5627" w:rsidRPr="003506E5" w:rsidRDefault="001A5627" w:rsidP="001A5627">
            <w:pPr>
              <w:spacing w:after="0" w:line="240" w:lineRule="auto"/>
              <w:jc w:val="center"/>
              <w:rPr>
                <w:rFonts w:eastAsia="Times New Roman"/>
                <w:b/>
                <w:bCs/>
                <w:color w:val="FFFFFF"/>
                <w:sz w:val="20"/>
                <w:szCs w:val="20"/>
                <w:lang w:eastAsia="en-US"/>
              </w:rPr>
            </w:pPr>
            <w:r w:rsidRPr="003506E5">
              <w:rPr>
                <w:rFonts w:eastAsia="Times New Roman"/>
                <w:b/>
                <w:bCs/>
                <w:color w:val="FFFFFF" w:themeColor="background1"/>
                <w:sz w:val="20"/>
                <w:szCs w:val="20"/>
                <w:lang w:eastAsia="en-US"/>
              </w:rPr>
              <w:t>Cumulative Household Enrolled</w:t>
            </w:r>
          </w:p>
        </w:tc>
        <w:tc>
          <w:tcPr>
            <w:tcW w:w="1487" w:type="dxa"/>
            <w:tcBorders>
              <w:top w:val="single" w:sz="8" w:space="0" w:color="45A7E1"/>
              <w:left w:val="nil"/>
              <w:bottom w:val="single" w:sz="8" w:space="0" w:color="45A7E1"/>
              <w:right w:val="single" w:sz="8" w:space="0" w:color="45A7E1"/>
            </w:tcBorders>
            <w:shd w:val="clear" w:color="000000" w:fill="0B1F51"/>
            <w:vAlign w:val="center"/>
            <w:hideMark/>
          </w:tcPr>
          <w:p w14:paraId="481BFF27" w14:textId="77777777" w:rsidR="001A5627" w:rsidRPr="003506E5" w:rsidRDefault="001A5627" w:rsidP="001A5627">
            <w:pPr>
              <w:spacing w:after="0" w:line="240" w:lineRule="auto"/>
              <w:jc w:val="center"/>
              <w:rPr>
                <w:rFonts w:eastAsia="Times New Roman"/>
                <w:b/>
                <w:bCs/>
                <w:color w:val="FFFFFF"/>
                <w:sz w:val="20"/>
                <w:szCs w:val="20"/>
                <w:lang w:eastAsia="en-US"/>
              </w:rPr>
            </w:pPr>
            <w:r w:rsidRPr="003506E5">
              <w:rPr>
                <w:rFonts w:eastAsia="Times New Roman"/>
                <w:b/>
                <w:bCs/>
                <w:color w:val="FFFFFF" w:themeColor="background1"/>
                <w:sz w:val="20"/>
                <w:szCs w:val="20"/>
                <w:lang w:eastAsia="en-US"/>
              </w:rPr>
              <w:t>Cumulative Population</w:t>
            </w:r>
          </w:p>
        </w:tc>
        <w:tc>
          <w:tcPr>
            <w:tcW w:w="1678" w:type="dxa"/>
            <w:tcBorders>
              <w:top w:val="single" w:sz="8" w:space="0" w:color="45A7E1"/>
              <w:left w:val="nil"/>
              <w:bottom w:val="single" w:sz="8" w:space="0" w:color="45A7E1"/>
              <w:right w:val="single" w:sz="8" w:space="0" w:color="45A7E1"/>
            </w:tcBorders>
            <w:shd w:val="clear" w:color="000000" w:fill="0B1F51"/>
            <w:vAlign w:val="center"/>
            <w:hideMark/>
          </w:tcPr>
          <w:p w14:paraId="75184AE4" w14:textId="77777777" w:rsidR="001A5627" w:rsidRPr="003506E5" w:rsidRDefault="001A5627" w:rsidP="001A5627">
            <w:pPr>
              <w:spacing w:after="0" w:line="240" w:lineRule="auto"/>
              <w:jc w:val="center"/>
              <w:rPr>
                <w:rFonts w:eastAsia="Times New Roman"/>
                <w:b/>
                <w:bCs/>
                <w:color w:val="FFFFFF"/>
                <w:sz w:val="20"/>
                <w:szCs w:val="20"/>
                <w:lang w:eastAsia="en-US"/>
              </w:rPr>
            </w:pPr>
            <w:r w:rsidRPr="003506E5">
              <w:rPr>
                <w:rFonts w:eastAsia="Times New Roman"/>
                <w:b/>
                <w:bCs/>
                <w:color w:val="FFFFFF" w:themeColor="background1"/>
                <w:sz w:val="20"/>
                <w:szCs w:val="20"/>
                <w:lang w:eastAsia="en-US"/>
              </w:rPr>
              <w:t>Achievement against Target (7567 HHs)</w:t>
            </w:r>
          </w:p>
        </w:tc>
      </w:tr>
      <w:tr w:rsidR="001A5627" w:rsidRPr="003506E5" w14:paraId="07DB7C22" w14:textId="77777777" w:rsidTr="007049C3">
        <w:trPr>
          <w:trHeight w:val="317"/>
        </w:trPr>
        <w:tc>
          <w:tcPr>
            <w:tcW w:w="1610" w:type="dxa"/>
            <w:tcBorders>
              <w:top w:val="nil"/>
              <w:left w:val="single" w:sz="8" w:space="0" w:color="45A7E1"/>
              <w:bottom w:val="single" w:sz="8" w:space="0" w:color="45A7E1"/>
              <w:right w:val="single" w:sz="8" w:space="0" w:color="45A7E1"/>
            </w:tcBorders>
            <w:shd w:val="clear" w:color="000000" w:fill="DBE4ED"/>
            <w:noWrap/>
            <w:vAlign w:val="center"/>
            <w:hideMark/>
          </w:tcPr>
          <w:p w14:paraId="0C0DEE48" w14:textId="77777777" w:rsidR="001A5627" w:rsidRPr="003506E5" w:rsidRDefault="001A5627" w:rsidP="001A5627">
            <w:pPr>
              <w:spacing w:after="0" w:line="240" w:lineRule="auto"/>
              <w:jc w:val="both"/>
              <w:rPr>
                <w:rFonts w:eastAsia="Times New Roman"/>
                <w:b/>
                <w:bCs/>
                <w:color w:val="0B1F51"/>
                <w:sz w:val="20"/>
                <w:szCs w:val="20"/>
                <w:lang w:eastAsia="en-US"/>
              </w:rPr>
            </w:pPr>
            <w:r w:rsidRPr="003506E5">
              <w:rPr>
                <w:rFonts w:eastAsia="Times New Roman"/>
                <w:b/>
                <w:bCs/>
                <w:color w:val="0B1F51"/>
                <w:sz w:val="20"/>
                <w:szCs w:val="20"/>
                <w:lang w:eastAsia="en-US"/>
              </w:rPr>
              <w:t>Jan-Dec 2017</w:t>
            </w:r>
          </w:p>
        </w:tc>
        <w:tc>
          <w:tcPr>
            <w:tcW w:w="1328" w:type="dxa"/>
            <w:tcBorders>
              <w:top w:val="nil"/>
              <w:left w:val="nil"/>
              <w:bottom w:val="single" w:sz="8" w:space="0" w:color="45A7E1"/>
              <w:right w:val="single" w:sz="8" w:space="0" w:color="45A7E1"/>
            </w:tcBorders>
            <w:shd w:val="clear" w:color="000000" w:fill="DBE4ED"/>
            <w:noWrap/>
            <w:vAlign w:val="center"/>
            <w:hideMark/>
          </w:tcPr>
          <w:p w14:paraId="0D7B0924" w14:textId="77777777" w:rsidR="001A5627" w:rsidRPr="003506E5" w:rsidRDefault="001A5627" w:rsidP="001A5627">
            <w:pPr>
              <w:spacing w:after="0" w:line="240" w:lineRule="auto"/>
              <w:jc w:val="center"/>
              <w:rPr>
                <w:rFonts w:eastAsia="Times New Roman"/>
                <w:color w:val="000000"/>
                <w:sz w:val="20"/>
                <w:szCs w:val="20"/>
                <w:lang w:eastAsia="en-US"/>
              </w:rPr>
            </w:pPr>
            <w:r w:rsidRPr="003506E5">
              <w:rPr>
                <w:rFonts w:eastAsia="Times New Roman"/>
                <w:sz w:val="20"/>
                <w:szCs w:val="20"/>
                <w:lang w:eastAsia="en-US"/>
              </w:rPr>
              <w:t>733</w:t>
            </w:r>
          </w:p>
        </w:tc>
        <w:tc>
          <w:tcPr>
            <w:tcW w:w="1435" w:type="dxa"/>
            <w:tcBorders>
              <w:top w:val="nil"/>
              <w:left w:val="nil"/>
              <w:bottom w:val="single" w:sz="8" w:space="0" w:color="45A7E1"/>
              <w:right w:val="single" w:sz="8" w:space="0" w:color="45A7E1"/>
            </w:tcBorders>
            <w:shd w:val="clear" w:color="000000" w:fill="DBE4ED"/>
            <w:noWrap/>
            <w:vAlign w:val="center"/>
            <w:hideMark/>
          </w:tcPr>
          <w:p w14:paraId="441A5A68" w14:textId="77777777" w:rsidR="001A5627" w:rsidRPr="003506E5" w:rsidRDefault="001A5627" w:rsidP="001A5627">
            <w:pPr>
              <w:spacing w:after="0" w:line="240" w:lineRule="auto"/>
              <w:jc w:val="center"/>
              <w:rPr>
                <w:rFonts w:eastAsia="Times New Roman"/>
                <w:color w:val="000000"/>
                <w:sz w:val="20"/>
                <w:szCs w:val="20"/>
                <w:lang w:eastAsia="en-US"/>
              </w:rPr>
            </w:pPr>
            <w:r w:rsidRPr="003506E5">
              <w:rPr>
                <w:rFonts w:eastAsia="Times New Roman"/>
                <w:sz w:val="20"/>
                <w:szCs w:val="20"/>
                <w:lang w:eastAsia="en-US"/>
              </w:rPr>
              <w:t>4142</w:t>
            </w:r>
          </w:p>
        </w:tc>
        <w:tc>
          <w:tcPr>
            <w:tcW w:w="1487" w:type="dxa"/>
            <w:tcBorders>
              <w:top w:val="nil"/>
              <w:left w:val="nil"/>
              <w:bottom w:val="single" w:sz="8" w:space="0" w:color="45A7E1"/>
              <w:right w:val="single" w:sz="8" w:space="0" w:color="45A7E1"/>
            </w:tcBorders>
            <w:shd w:val="clear" w:color="000000" w:fill="DBE4ED"/>
            <w:noWrap/>
            <w:vAlign w:val="center"/>
            <w:hideMark/>
          </w:tcPr>
          <w:p w14:paraId="420B27B1" w14:textId="77777777" w:rsidR="001A5627" w:rsidRPr="003506E5" w:rsidRDefault="001A5627" w:rsidP="001A5627">
            <w:pPr>
              <w:spacing w:after="0" w:line="240" w:lineRule="auto"/>
              <w:jc w:val="center"/>
              <w:rPr>
                <w:rFonts w:eastAsia="Times New Roman"/>
                <w:color w:val="000000"/>
                <w:sz w:val="20"/>
                <w:szCs w:val="20"/>
                <w:lang w:eastAsia="en-US"/>
              </w:rPr>
            </w:pPr>
            <w:r w:rsidRPr="003506E5">
              <w:rPr>
                <w:rFonts w:eastAsia="Times New Roman"/>
                <w:sz w:val="20"/>
                <w:szCs w:val="20"/>
                <w:lang w:eastAsia="en-US"/>
              </w:rPr>
              <w:t>733</w:t>
            </w:r>
          </w:p>
        </w:tc>
        <w:tc>
          <w:tcPr>
            <w:tcW w:w="1487" w:type="dxa"/>
            <w:tcBorders>
              <w:top w:val="nil"/>
              <w:left w:val="nil"/>
              <w:bottom w:val="single" w:sz="8" w:space="0" w:color="45A7E1"/>
              <w:right w:val="single" w:sz="8" w:space="0" w:color="45A7E1"/>
            </w:tcBorders>
            <w:shd w:val="clear" w:color="000000" w:fill="DBE4ED"/>
            <w:noWrap/>
            <w:vAlign w:val="center"/>
            <w:hideMark/>
          </w:tcPr>
          <w:p w14:paraId="40FE77F5" w14:textId="77777777" w:rsidR="001A5627" w:rsidRPr="003506E5" w:rsidRDefault="001A5627" w:rsidP="001A5627">
            <w:pPr>
              <w:spacing w:after="0" w:line="240" w:lineRule="auto"/>
              <w:jc w:val="center"/>
              <w:rPr>
                <w:rFonts w:eastAsia="Times New Roman"/>
                <w:color w:val="000000"/>
                <w:sz w:val="20"/>
                <w:szCs w:val="20"/>
                <w:lang w:eastAsia="en-US"/>
              </w:rPr>
            </w:pPr>
            <w:r w:rsidRPr="003506E5">
              <w:rPr>
                <w:rFonts w:eastAsia="Times New Roman"/>
                <w:sz w:val="20"/>
                <w:szCs w:val="20"/>
                <w:lang w:eastAsia="en-US"/>
              </w:rPr>
              <w:t>4142</w:t>
            </w:r>
          </w:p>
        </w:tc>
        <w:tc>
          <w:tcPr>
            <w:tcW w:w="1678" w:type="dxa"/>
            <w:tcBorders>
              <w:top w:val="nil"/>
              <w:left w:val="nil"/>
              <w:bottom w:val="single" w:sz="8" w:space="0" w:color="45A7E1"/>
              <w:right w:val="single" w:sz="8" w:space="0" w:color="45A7E1"/>
            </w:tcBorders>
            <w:shd w:val="clear" w:color="000000" w:fill="DBE4ED"/>
            <w:noWrap/>
            <w:vAlign w:val="center"/>
            <w:hideMark/>
          </w:tcPr>
          <w:p w14:paraId="7D4CD6DB" w14:textId="77777777" w:rsidR="001A5627" w:rsidRPr="003506E5" w:rsidRDefault="001A5627" w:rsidP="001A5627">
            <w:pPr>
              <w:spacing w:after="0" w:line="240" w:lineRule="auto"/>
              <w:jc w:val="center"/>
              <w:rPr>
                <w:rFonts w:eastAsia="Times New Roman"/>
                <w:color w:val="000000"/>
                <w:sz w:val="20"/>
                <w:szCs w:val="20"/>
                <w:lang w:eastAsia="en-US"/>
              </w:rPr>
            </w:pPr>
            <w:r w:rsidRPr="003506E5">
              <w:rPr>
                <w:rFonts w:eastAsia="Times New Roman"/>
                <w:sz w:val="20"/>
                <w:szCs w:val="20"/>
                <w:lang w:eastAsia="en-US"/>
              </w:rPr>
              <w:t>10%</w:t>
            </w:r>
          </w:p>
        </w:tc>
      </w:tr>
      <w:tr w:rsidR="001A5627" w:rsidRPr="003506E5" w14:paraId="05D9EBB5" w14:textId="77777777" w:rsidTr="007049C3">
        <w:trPr>
          <w:trHeight w:val="317"/>
        </w:trPr>
        <w:tc>
          <w:tcPr>
            <w:tcW w:w="1610" w:type="dxa"/>
            <w:tcBorders>
              <w:top w:val="nil"/>
              <w:left w:val="single" w:sz="8" w:space="0" w:color="45A7E1"/>
              <w:bottom w:val="single" w:sz="8" w:space="0" w:color="45A7E1"/>
              <w:right w:val="single" w:sz="8" w:space="0" w:color="45A7E1"/>
            </w:tcBorders>
            <w:shd w:val="clear" w:color="000000" w:fill="DBE4ED"/>
            <w:noWrap/>
            <w:vAlign w:val="center"/>
            <w:hideMark/>
          </w:tcPr>
          <w:p w14:paraId="0A35DF79" w14:textId="77777777" w:rsidR="001A5627" w:rsidRPr="003506E5" w:rsidRDefault="001A5627" w:rsidP="001A5627">
            <w:pPr>
              <w:spacing w:after="0" w:line="240" w:lineRule="auto"/>
              <w:jc w:val="both"/>
              <w:rPr>
                <w:rFonts w:eastAsia="Times New Roman"/>
                <w:b/>
                <w:bCs/>
                <w:color w:val="0B1F51"/>
                <w:sz w:val="20"/>
                <w:szCs w:val="20"/>
                <w:lang w:eastAsia="en-US"/>
              </w:rPr>
            </w:pPr>
            <w:r w:rsidRPr="003506E5">
              <w:rPr>
                <w:rFonts w:eastAsia="Times New Roman"/>
                <w:b/>
                <w:bCs/>
                <w:color w:val="0B1F51"/>
                <w:sz w:val="20"/>
                <w:szCs w:val="20"/>
                <w:lang w:eastAsia="en-US"/>
              </w:rPr>
              <w:t>Jan-Jun 2018</w:t>
            </w:r>
          </w:p>
        </w:tc>
        <w:tc>
          <w:tcPr>
            <w:tcW w:w="1328" w:type="dxa"/>
            <w:tcBorders>
              <w:top w:val="nil"/>
              <w:left w:val="nil"/>
              <w:bottom w:val="single" w:sz="8" w:space="0" w:color="45A7E1"/>
              <w:right w:val="single" w:sz="8" w:space="0" w:color="45A7E1"/>
            </w:tcBorders>
            <w:shd w:val="clear" w:color="000000" w:fill="DBE4ED"/>
            <w:noWrap/>
            <w:vAlign w:val="center"/>
            <w:hideMark/>
          </w:tcPr>
          <w:p w14:paraId="4FCAE47F" w14:textId="77777777" w:rsidR="001A5627" w:rsidRPr="003506E5" w:rsidRDefault="001A5627" w:rsidP="001A5627">
            <w:pPr>
              <w:spacing w:after="0" w:line="240" w:lineRule="auto"/>
              <w:jc w:val="center"/>
              <w:rPr>
                <w:rFonts w:eastAsia="Times New Roman"/>
                <w:color w:val="000000"/>
                <w:sz w:val="20"/>
                <w:szCs w:val="20"/>
                <w:lang w:eastAsia="en-US"/>
              </w:rPr>
            </w:pPr>
            <w:r w:rsidRPr="003506E5">
              <w:rPr>
                <w:rFonts w:eastAsia="Times New Roman"/>
                <w:sz w:val="20"/>
                <w:szCs w:val="20"/>
                <w:lang w:eastAsia="en-US"/>
              </w:rPr>
              <w:t>2422</w:t>
            </w:r>
          </w:p>
        </w:tc>
        <w:tc>
          <w:tcPr>
            <w:tcW w:w="1435" w:type="dxa"/>
            <w:tcBorders>
              <w:top w:val="nil"/>
              <w:left w:val="nil"/>
              <w:bottom w:val="single" w:sz="8" w:space="0" w:color="45A7E1"/>
              <w:right w:val="single" w:sz="8" w:space="0" w:color="45A7E1"/>
            </w:tcBorders>
            <w:shd w:val="clear" w:color="000000" w:fill="DBE4ED"/>
            <w:noWrap/>
            <w:vAlign w:val="center"/>
            <w:hideMark/>
          </w:tcPr>
          <w:p w14:paraId="35ACB72D" w14:textId="77777777" w:rsidR="001A5627" w:rsidRPr="003506E5" w:rsidRDefault="001A5627" w:rsidP="001A5627">
            <w:pPr>
              <w:spacing w:after="0" w:line="240" w:lineRule="auto"/>
              <w:jc w:val="center"/>
              <w:rPr>
                <w:rFonts w:eastAsia="Times New Roman"/>
                <w:color w:val="000000"/>
                <w:sz w:val="20"/>
                <w:szCs w:val="20"/>
                <w:lang w:eastAsia="en-US"/>
              </w:rPr>
            </w:pPr>
            <w:r w:rsidRPr="003506E5">
              <w:rPr>
                <w:rFonts w:eastAsia="Times New Roman"/>
                <w:sz w:val="20"/>
                <w:szCs w:val="20"/>
                <w:lang w:eastAsia="en-US"/>
              </w:rPr>
              <w:t>10928</w:t>
            </w:r>
          </w:p>
        </w:tc>
        <w:tc>
          <w:tcPr>
            <w:tcW w:w="1487" w:type="dxa"/>
            <w:tcBorders>
              <w:top w:val="nil"/>
              <w:left w:val="nil"/>
              <w:bottom w:val="single" w:sz="8" w:space="0" w:color="45A7E1"/>
              <w:right w:val="single" w:sz="8" w:space="0" w:color="45A7E1"/>
            </w:tcBorders>
            <w:shd w:val="clear" w:color="000000" w:fill="DBE4ED"/>
            <w:noWrap/>
            <w:vAlign w:val="center"/>
            <w:hideMark/>
          </w:tcPr>
          <w:p w14:paraId="3DFC076C" w14:textId="77777777" w:rsidR="001A5627" w:rsidRPr="003506E5" w:rsidRDefault="001A5627" w:rsidP="001A5627">
            <w:pPr>
              <w:spacing w:after="0" w:line="240" w:lineRule="auto"/>
              <w:jc w:val="center"/>
              <w:rPr>
                <w:rFonts w:eastAsia="Times New Roman"/>
                <w:color w:val="000000"/>
                <w:sz w:val="20"/>
                <w:szCs w:val="20"/>
                <w:lang w:eastAsia="en-US"/>
              </w:rPr>
            </w:pPr>
            <w:r w:rsidRPr="003506E5">
              <w:rPr>
                <w:rFonts w:eastAsia="Times New Roman"/>
                <w:sz w:val="20"/>
                <w:szCs w:val="20"/>
                <w:lang w:eastAsia="en-US"/>
              </w:rPr>
              <w:t>3155</w:t>
            </w:r>
          </w:p>
        </w:tc>
        <w:tc>
          <w:tcPr>
            <w:tcW w:w="1487" w:type="dxa"/>
            <w:tcBorders>
              <w:top w:val="nil"/>
              <w:left w:val="nil"/>
              <w:bottom w:val="single" w:sz="8" w:space="0" w:color="45A7E1"/>
              <w:right w:val="single" w:sz="8" w:space="0" w:color="45A7E1"/>
            </w:tcBorders>
            <w:shd w:val="clear" w:color="000000" w:fill="DBE4ED"/>
            <w:noWrap/>
            <w:vAlign w:val="center"/>
            <w:hideMark/>
          </w:tcPr>
          <w:p w14:paraId="08B59E6B" w14:textId="77777777" w:rsidR="001A5627" w:rsidRPr="003506E5" w:rsidRDefault="001A5627" w:rsidP="001A5627">
            <w:pPr>
              <w:spacing w:after="0" w:line="240" w:lineRule="auto"/>
              <w:jc w:val="center"/>
              <w:rPr>
                <w:rFonts w:eastAsia="Times New Roman"/>
                <w:color w:val="000000"/>
                <w:sz w:val="20"/>
                <w:szCs w:val="20"/>
                <w:lang w:eastAsia="en-US"/>
              </w:rPr>
            </w:pPr>
            <w:r w:rsidRPr="003506E5">
              <w:rPr>
                <w:rFonts w:eastAsia="Times New Roman"/>
                <w:sz w:val="20"/>
                <w:szCs w:val="20"/>
                <w:lang w:eastAsia="en-US"/>
              </w:rPr>
              <w:t>15070</w:t>
            </w:r>
          </w:p>
        </w:tc>
        <w:tc>
          <w:tcPr>
            <w:tcW w:w="1678" w:type="dxa"/>
            <w:tcBorders>
              <w:top w:val="nil"/>
              <w:left w:val="nil"/>
              <w:bottom w:val="single" w:sz="8" w:space="0" w:color="45A7E1"/>
              <w:right w:val="single" w:sz="8" w:space="0" w:color="45A7E1"/>
            </w:tcBorders>
            <w:shd w:val="clear" w:color="000000" w:fill="DBE4ED"/>
            <w:noWrap/>
            <w:vAlign w:val="center"/>
            <w:hideMark/>
          </w:tcPr>
          <w:p w14:paraId="3A8B1CBA" w14:textId="77777777" w:rsidR="001A5627" w:rsidRPr="003506E5" w:rsidRDefault="001A5627" w:rsidP="001A5627">
            <w:pPr>
              <w:spacing w:after="0" w:line="240" w:lineRule="auto"/>
              <w:jc w:val="center"/>
              <w:rPr>
                <w:rFonts w:eastAsia="Times New Roman"/>
                <w:color w:val="000000"/>
                <w:sz w:val="20"/>
                <w:szCs w:val="20"/>
                <w:lang w:eastAsia="en-US"/>
              </w:rPr>
            </w:pPr>
            <w:r w:rsidRPr="003506E5">
              <w:rPr>
                <w:rFonts w:eastAsia="Times New Roman"/>
                <w:sz w:val="20"/>
                <w:szCs w:val="20"/>
                <w:lang w:eastAsia="en-US"/>
              </w:rPr>
              <w:t>42%</w:t>
            </w:r>
          </w:p>
        </w:tc>
      </w:tr>
      <w:tr w:rsidR="001A5627" w:rsidRPr="003506E5" w14:paraId="3945E34D" w14:textId="77777777" w:rsidTr="007049C3">
        <w:trPr>
          <w:trHeight w:val="317"/>
        </w:trPr>
        <w:tc>
          <w:tcPr>
            <w:tcW w:w="1610" w:type="dxa"/>
            <w:tcBorders>
              <w:top w:val="nil"/>
              <w:left w:val="single" w:sz="8" w:space="0" w:color="45A7E1"/>
              <w:bottom w:val="single" w:sz="8" w:space="0" w:color="45A7E1"/>
              <w:right w:val="single" w:sz="8" w:space="0" w:color="45A7E1"/>
            </w:tcBorders>
            <w:shd w:val="clear" w:color="000000" w:fill="DBE4ED"/>
            <w:noWrap/>
            <w:vAlign w:val="center"/>
            <w:hideMark/>
          </w:tcPr>
          <w:p w14:paraId="143433F5" w14:textId="77777777" w:rsidR="001A5627" w:rsidRPr="003506E5" w:rsidRDefault="001A5627" w:rsidP="001A5627">
            <w:pPr>
              <w:spacing w:after="0" w:line="240" w:lineRule="auto"/>
              <w:jc w:val="both"/>
              <w:rPr>
                <w:rFonts w:eastAsia="Times New Roman"/>
                <w:b/>
                <w:bCs/>
                <w:color w:val="0B1F51"/>
                <w:sz w:val="20"/>
                <w:szCs w:val="20"/>
                <w:lang w:eastAsia="en-US"/>
              </w:rPr>
            </w:pPr>
            <w:r w:rsidRPr="003506E5">
              <w:rPr>
                <w:rFonts w:eastAsia="Times New Roman"/>
                <w:b/>
                <w:bCs/>
                <w:color w:val="0B1F51"/>
                <w:sz w:val="20"/>
                <w:szCs w:val="20"/>
                <w:lang w:eastAsia="en-US"/>
              </w:rPr>
              <w:t>Jul-Dec 2018</w:t>
            </w:r>
          </w:p>
        </w:tc>
        <w:tc>
          <w:tcPr>
            <w:tcW w:w="1328" w:type="dxa"/>
            <w:tcBorders>
              <w:top w:val="nil"/>
              <w:left w:val="nil"/>
              <w:bottom w:val="single" w:sz="8" w:space="0" w:color="45A7E1"/>
              <w:right w:val="single" w:sz="8" w:space="0" w:color="45A7E1"/>
            </w:tcBorders>
            <w:shd w:val="clear" w:color="000000" w:fill="DBE4ED"/>
            <w:noWrap/>
            <w:vAlign w:val="center"/>
            <w:hideMark/>
          </w:tcPr>
          <w:p w14:paraId="31B9F022" w14:textId="77777777" w:rsidR="001A5627" w:rsidRPr="003506E5" w:rsidRDefault="001A5627" w:rsidP="001A5627">
            <w:pPr>
              <w:spacing w:after="0" w:line="240" w:lineRule="auto"/>
              <w:jc w:val="center"/>
              <w:rPr>
                <w:rFonts w:eastAsia="Times New Roman"/>
                <w:color w:val="000000"/>
                <w:sz w:val="20"/>
                <w:szCs w:val="20"/>
                <w:lang w:eastAsia="en-US"/>
              </w:rPr>
            </w:pPr>
            <w:r w:rsidRPr="003506E5">
              <w:rPr>
                <w:rFonts w:eastAsia="Times New Roman"/>
                <w:sz w:val="20"/>
                <w:szCs w:val="20"/>
                <w:lang w:eastAsia="en-US"/>
              </w:rPr>
              <w:t>2015</w:t>
            </w:r>
          </w:p>
        </w:tc>
        <w:tc>
          <w:tcPr>
            <w:tcW w:w="1435" w:type="dxa"/>
            <w:tcBorders>
              <w:top w:val="nil"/>
              <w:left w:val="nil"/>
              <w:bottom w:val="single" w:sz="8" w:space="0" w:color="45A7E1"/>
              <w:right w:val="single" w:sz="8" w:space="0" w:color="45A7E1"/>
            </w:tcBorders>
            <w:shd w:val="clear" w:color="000000" w:fill="DBE4ED"/>
            <w:noWrap/>
            <w:vAlign w:val="center"/>
            <w:hideMark/>
          </w:tcPr>
          <w:p w14:paraId="453E0FAF" w14:textId="77777777" w:rsidR="001A5627" w:rsidRPr="003506E5" w:rsidRDefault="001A5627" w:rsidP="001A5627">
            <w:pPr>
              <w:spacing w:after="0" w:line="240" w:lineRule="auto"/>
              <w:jc w:val="center"/>
              <w:rPr>
                <w:rFonts w:eastAsia="Times New Roman"/>
                <w:color w:val="000000"/>
                <w:sz w:val="20"/>
                <w:szCs w:val="20"/>
                <w:lang w:eastAsia="en-US"/>
              </w:rPr>
            </w:pPr>
            <w:r w:rsidRPr="003506E5">
              <w:rPr>
                <w:rFonts w:eastAsia="Times New Roman"/>
                <w:sz w:val="20"/>
                <w:szCs w:val="20"/>
                <w:lang w:eastAsia="en-US"/>
              </w:rPr>
              <w:t>10014</w:t>
            </w:r>
          </w:p>
        </w:tc>
        <w:tc>
          <w:tcPr>
            <w:tcW w:w="1487" w:type="dxa"/>
            <w:tcBorders>
              <w:top w:val="nil"/>
              <w:left w:val="nil"/>
              <w:bottom w:val="single" w:sz="8" w:space="0" w:color="45A7E1"/>
              <w:right w:val="single" w:sz="8" w:space="0" w:color="45A7E1"/>
            </w:tcBorders>
            <w:shd w:val="clear" w:color="000000" w:fill="DBE4ED"/>
            <w:noWrap/>
            <w:vAlign w:val="center"/>
            <w:hideMark/>
          </w:tcPr>
          <w:p w14:paraId="78EC836A" w14:textId="77777777" w:rsidR="001A5627" w:rsidRPr="003506E5" w:rsidRDefault="001A5627" w:rsidP="001A5627">
            <w:pPr>
              <w:spacing w:after="0" w:line="240" w:lineRule="auto"/>
              <w:jc w:val="center"/>
              <w:rPr>
                <w:rFonts w:eastAsia="Times New Roman"/>
                <w:color w:val="000000"/>
                <w:sz w:val="20"/>
                <w:szCs w:val="20"/>
                <w:lang w:eastAsia="en-US"/>
              </w:rPr>
            </w:pPr>
            <w:r w:rsidRPr="003506E5">
              <w:rPr>
                <w:rFonts w:eastAsia="Times New Roman"/>
                <w:sz w:val="20"/>
                <w:szCs w:val="20"/>
                <w:lang w:eastAsia="en-US"/>
              </w:rPr>
              <w:t>5170</w:t>
            </w:r>
          </w:p>
        </w:tc>
        <w:tc>
          <w:tcPr>
            <w:tcW w:w="1487" w:type="dxa"/>
            <w:tcBorders>
              <w:top w:val="nil"/>
              <w:left w:val="nil"/>
              <w:bottom w:val="single" w:sz="8" w:space="0" w:color="45A7E1"/>
              <w:right w:val="single" w:sz="8" w:space="0" w:color="45A7E1"/>
            </w:tcBorders>
            <w:shd w:val="clear" w:color="000000" w:fill="DBE4ED"/>
            <w:noWrap/>
            <w:vAlign w:val="center"/>
            <w:hideMark/>
          </w:tcPr>
          <w:p w14:paraId="247A675B" w14:textId="77777777" w:rsidR="001A5627" w:rsidRPr="003506E5" w:rsidRDefault="001A5627" w:rsidP="001A5627">
            <w:pPr>
              <w:spacing w:after="0" w:line="240" w:lineRule="auto"/>
              <w:jc w:val="center"/>
              <w:rPr>
                <w:rFonts w:eastAsia="Times New Roman"/>
                <w:color w:val="000000"/>
                <w:sz w:val="20"/>
                <w:szCs w:val="20"/>
                <w:lang w:eastAsia="en-US"/>
              </w:rPr>
            </w:pPr>
            <w:r w:rsidRPr="003506E5">
              <w:rPr>
                <w:rFonts w:eastAsia="Times New Roman"/>
                <w:sz w:val="20"/>
                <w:szCs w:val="20"/>
                <w:lang w:eastAsia="en-US"/>
              </w:rPr>
              <w:t>25084</w:t>
            </w:r>
          </w:p>
        </w:tc>
        <w:tc>
          <w:tcPr>
            <w:tcW w:w="1678" w:type="dxa"/>
            <w:tcBorders>
              <w:top w:val="nil"/>
              <w:left w:val="nil"/>
              <w:bottom w:val="single" w:sz="8" w:space="0" w:color="45A7E1"/>
              <w:right w:val="single" w:sz="8" w:space="0" w:color="45A7E1"/>
            </w:tcBorders>
            <w:shd w:val="clear" w:color="000000" w:fill="DBE4ED"/>
            <w:noWrap/>
            <w:vAlign w:val="center"/>
            <w:hideMark/>
          </w:tcPr>
          <w:p w14:paraId="06DBCCA1" w14:textId="77777777" w:rsidR="001A5627" w:rsidRPr="003506E5" w:rsidRDefault="001A5627" w:rsidP="001A5627">
            <w:pPr>
              <w:spacing w:after="0" w:line="240" w:lineRule="auto"/>
              <w:jc w:val="center"/>
              <w:rPr>
                <w:rFonts w:eastAsia="Times New Roman"/>
                <w:color w:val="000000"/>
                <w:sz w:val="20"/>
                <w:szCs w:val="20"/>
                <w:lang w:eastAsia="en-US"/>
              </w:rPr>
            </w:pPr>
            <w:r w:rsidRPr="003506E5">
              <w:rPr>
                <w:rFonts w:eastAsia="Times New Roman"/>
                <w:sz w:val="20"/>
                <w:szCs w:val="20"/>
                <w:lang w:eastAsia="en-US"/>
              </w:rPr>
              <w:t>68%</w:t>
            </w:r>
          </w:p>
        </w:tc>
      </w:tr>
      <w:tr w:rsidR="001A5627" w:rsidRPr="003506E5" w14:paraId="222D3DDE" w14:textId="77777777" w:rsidTr="007049C3">
        <w:trPr>
          <w:trHeight w:val="317"/>
        </w:trPr>
        <w:tc>
          <w:tcPr>
            <w:tcW w:w="1610" w:type="dxa"/>
            <w:tcBorders>
              <w:top w:val="nil"/>
              <w:left w:val="single" w:sz="8" w:space="0" w:color="45A7E1"/>
              <w:bottom w:val="single" w:sz="8" w:space="0" w:color="45A7E1"/>
              <w:right w:val="single" w:sz="8" w:space="0" w:color="45A7E1"/>
            </w:tcBorders>
            <w:shd w:val="clear" w:color="000000" w:fill="DBE4ED"/>
            <w:noWrap/>
            <w:vAlign w:val="center"/>
            <w:hideMark/>
          </w:tcPr>
          <w:p w14:paraId="492DDE42" w14:textId="77777777" w:rsidR="001A5627" w:rsidRPr="003506E5" w:rsidRDefault="001A5627" w:rsidP="001A5627">
            <w:pPr>
              <w:spacing w:after="0" w:line="240" w:lineRule="auto"/>
              <w:jc w:val="both"/>
              <w:rPr>
                <w:rFonts w:eastAsia="Times New Roman"/>
                <w:b/>
                <w:bCs/>
                <w:color w:val="0B1F51"/>
                <w:sz w:val="20"/>
                <w:szCs w:val="20"/>
                <w:lang w:eastAsia="en-US"/>
              </w:rPr>
            </w:pPr>
            <w:r w:rsidRPr="003506E5">
              <w:rPr>
                <w:rFonts w:eastAsia="Times New Roman"/>
                <w:b/>
                <w:bCs/>
                <w:color w:val="0B1F51"/>
                <w:sz w:val="20"/>
                <w:szCs w:val="20"/>
                <w:lang w:eastAsia="en-US"/>
              </w:rPr>
              <w:t>Jan-Jun 2019</w:t>
            </w:r>
          </w:p>
        </w:tc>
        <w:tc>
          <w:tcPr>
            <w:tcW w:w="1328" w:type="dxa"/>
            <w:tcBorders>
              <w:top w:val="nil"/>
              <w:left w:val="nil"/>
              <w:bottom w:val="single" w:sz="8" w:space="0" w:color="45A7E1"/>
              <w:right w:val="single" w:sz="8" w:space="0" w:color="45A7E1"/>
            </w:tcBorders>
            <w:shd w:val="clear" w:color="000000" w:fill="DBE4ED"/>
            <w:noWrap/>
            <w:vAlign w:val="center"/>
            <w:hideMark/>
          </w:tcPr>
          <w:p w14:paraId="7FB46948" w14:textId="77777777" w:rsidR="001A5627" w:rsidRPr="003506E5" w:rsidRDefault="001A5627" w:rsidP="001A5627">
            <w:pPr>
              <w:spacing w:after="0" w:line="240" w:lineRule="auto"/>
              <w:jc w:val="center"/>
              <w:rPr>
                <w:rFonts w:eastAsia="Times New Roman"/>
                <w:color w:val="000000"/>
                <w:sz w:val="20"/>
                <w:szCs w:val="20"/>
                <w:lang w:eastAsia="en-US"/>
              </w:rPr>
            </w:pPr>
            <w:r w:rsidRPr="003506E5">
              <w:rPr>
                <w:rFonts w:eastAsia="Times New Roman"/>
                <w:sz w:val="20"/>
                <w:szCs w:val="20"/>
                <w:lang w:eastAsia="en-US"/>
              </w:rPr>
              <w:t>135</w:t>
            </w:r>
          </w:p>
        </w:tc>
        <w:tc>
          <w:tcPr>
            <w:tcW w:w="1435" w:type="dxa"/>
            <w:tcBorders>
              <w:top w:val="nil"/>
              <w:left w:val="nil"/>
              <w:bottom w:val="single" w:sz="8" w:space="0" w:color="45A7E1"/>
              <w:right w:val="single" w:sz="8" w:space="0" w:color="45A7E1"/>
            </w:tcBorders>
            <w:shd w:val="clear" w:color="000000" w:fill="DBE4ED"/>
            <w:noWrap/>
            <w:vAlign w:val="center"/>
            <w:hideMark/>
          </w:tcPr>
          <w:p w14:paraId="4737F128" w14:textId="77777777" w:rsidR="001A5627" w:rsidRPr="003506E5" w:rsidRDefault="001A5627" w:rsidP="001A5627">
            <w:pPr>
              <w:spacing w:after="0" w:line="240" w:lineRule="auto"/>
              <w:jc w:val="center"/>
              <w:rPr>
                <w:rFonts w:eastAsia="Times New Roman"/>
                <w:color w:val="000000"/>
                <w:sz w:val="20"/>
                <w:szCs w:val="20"/>
                <w:lang w:eastAsia="en-US"/>
              </w:rPr>
            </w:pPr>
            <w:r w:rsidRPr="003506E5">
              <w:rPr>
                <w:rFonts w:eastAsia="Times New Roman"/>
                <w:sz w:val="20"/>
                <w:szCs w:val="20"/>
                <w:lang w:eastAsia="en-US"/>
              </w:rPr>
              <w:t>358</w:t>
            </w:r>
          </w:p>
        </w:tc>
        <w:tc>
          <w:tcPr>
            <w:tcW w:w="1487" w:type="dxa"/>
            <w:tcBorders>
              <w:top w:val="nil"/>
              <w:left w:val="nil"/>
              <w:bottom w:val="single" w:sz="8" w:space="0" w:color="45A7E1"/>
              <w:right w:val="single" w:sz="8" w:space="0" w:color="45A7E1"/>
            </w:tcBorders>
            <w:shd w:val="clear" w:color="000000" w:fill="DBE4ED"/>
            <w:noWrap/>
            <w:vAlign w:val="center"/>
            <w:hideMark/>
          </w:tcPr>
          <w:p w14:paraId="482B6B11" w14:textId="77777777" w:rsidR="001A5627" w:rsidRPr="003506E5" w:rsidRDefault="001A5627" w:rsidP="001A5627">
            <w:pPr>
              <w:spacing w:after="0" w:line="240" w:lineRule="auto"/>
              <w:jc w:val="center"/>
              <w:rPr>
                <w:rFonts w:eastAsia="Times New Roman"/>
                <w:color w:val="000000"/>
                <w:sz w:val="20"/>
                <w:szCs w:val="20"/>
                <w:lang w:eastAsia="en-US"/>
              </w:rPr>
            </w:pPr>
            <w:r w:rsidRPr="003506E5">
              <w:rPr>
                <w:rFonts w:eastAsia="Times New Roman"/>
                <w:sz w:val="20"/>
                <w:szCs w:val="20"/>
                <w:lang w:eastAsia="en-US"/>
              </w:rPr>
              <w:t>5305</w:t>
            </w:r>
          </w:p>
        </w:tc>
        <w:tc>
          <w:tcPr>
            <w:tcW w:w="1487" w:type="dxa"/>
            <w:tcBorders>
              <w:top w:val="nil"/>
              <w:left w:val="nil"/>
              <w:bottom w:val="single" w:sz="8" w:space="0" w:color="45A7E1"/>
              <w:right w:val="single" w:sz="8" w:space="0" w:color="45A7E1"/>
            </w:tcBorders>
            <w:shd w:val="clear" w:color="000000" w:fill="DBE4ED"/>
            <w:noWrap/>
            <w:vAlign w:val="center"/>
            <w:hideMark/>
          </w:tcPr>
          <w:p w14:paraId="44B7355B" w14:textId="77777777" w:rsidR="001A5627" w:rsidRPr="003506E5" w:rsidRDefault="001A5627" w:rsidP="001A5627">
            <w:pPr>
              <w:spacing w:after="0" w:line="240" w:lineRule="auto"/>
              <w:jc w:val="center"/>
              <w:rPr>
                <w:rFonts w:eastAsia="Times New Roman"/>
                <w:color w:val="000000"/>
                <w:sz w:val="20"/>
                <w:szCs w:val="20"/>
                <w:lang w:eastAsia="en-US"/>
              </w:rPr>
            </w:pPr>
            <w:r w:rsidRPr="003506E5">
              <w:rPr>
                <w:rFonts w:eastAsia="Times New Roman"/>
                <w:sz w:val="20"/>
                <w:szCs w:val="20"/>
                <w:lang w:eastAsia="en-US"/>
              </w:rPr>
              <w:t>25442</w:t>
            </w:r>
          </w:p>
        </w:tc>
        <w:tc>
          <w:tcPr>
            <w:tcW w:w="1678" w:type="dxa"/>
            <w:tcBorders>
              <w:top w:val="nil"/>
              <w:left w:val="nil"/>
              <w:bottom w:val="single" w:sz="8" w:space="0" w:color="45A7E1"/>
              <w:right w:val="single" w:sz="8" w:space="0" w:color="45A7E1"/>
            </w:tcBorders>
            <w:shd w:val="clear" w:color="000000" w:fill="DBE4ED"/>
            <w:noWrap/>
            <w:vAlign w:val="center"/>
            <w:hideMark/>
          </w:tcPr>
          <w:p w14:paraId="4386B727" w14:textId="77777777" w:rsidR="001A5627" w:rsidRPr="003506E5" w:rsidRDefault="001A5627" w:rsidP="001A5627">
            <w:pPr>
              <w:spacing w:after="0" w:line="240" w:lineRule="auto"/>
              <w:jc w:val="center"/>
              <w:rPr>
                <w:rFonts w:eastAsia="Times New Roman"/>
                <w:color w:val="000000"/>
                <w:sz w:val="20"/>
                <w:szCs w:val="20"/>
                <w:lang w:eastAsia="en-US"/>
              </w:rPr>
            </w:pPr>
            <w:r w:rsidRPr="003506E5">
              <w:rPr>
                <w:rFonts w:eastAsia="Times New Roman"/>
                <w:sz w:val="20"/>
                <w:szCs w:val="20"/>
                <w:lang w:eastAsia="en-US"/>
              </w:rPr>
              <w:t>70%</w:t>
            </w:r>
          </w:p>
        </w:tc>
      </w:tr>
      <w:tr w:rsidR="001A5627" w:rsidRPr="003506E5" w14:paraId="644F7844" w14:textId="77777777" w:rsidTr="007049C3">
        <w:trPr>
          <w:trHeight w:val="317"/>
        </w:trPr>
        <w:tc>
          <w:tcPr>
            <w:tcW w:w="1610" w:type="dxa"/>
            <w:tcBorders>
              <w:top w:val="nil"/>
              <w:left w:val="single" w:sz="8" w:space="0" w:color="45A7E1"/>
              <w:bottom w:val="single" w:sz="8" w:space="0" w:color="45A7E1"/>
              <w:right w:val="single" w:sz="8" w:space="0" w:color="45A7E1"/>
            </w:tcBorders>
            <w:shd w:val="clear" w:color="000000" w:fill="DBE4ED"/>
            <w:noWrap/>
            <w:vAlign w:val="center"/>
            <w:hideMark/>
          </w:tcPr>
          <w:p w14:paraId="3CAB3A4D" w14:textId="77777777" w:rsidR="001A5627" w:rsidRPr="003506E5" w:rsidRDefault="001A5627" w:rsidP="001A5627">
            <w:pPr>
              <w:spacing w:after="0" w:line="240" w:lineRule="auto"/>
              <w:jc w:val="both"/>
              <w:rPr>
                <w:rFonts w:eastAsia="Times New Roman"/>
                <w:b/>
                <w:bCs/>
                <w:color w:val="0B1F51"/>
                <w:sz w:val="20"/>
                <w:szCs w:val="20"/>
                <w:lang w:eastAsia="en-US"/>
              </w:rPr>
            </w:pPr>
            <w:r w:rsidRPr="003506E5">
              <w:rPr>
                <w:rFonts w:eastAsia="Times New Roman"/>
                <w:b/>
                <w:bCs/>
                <w:color w:val="0B1F51"/>
                <w:sz w:val="20"/>
                <w:szCs w:val="20"/>
                <w:lang w:eastAsia="en-US"/>
              </w:rPr>
              <w:t>Jul-Dec 2019</w:t>
            </w:r>
          </w:p>
        </w:tc>
        <w:tc>
          <w:tcPr>
            <w:tcW w:w="1328" w:type="dxa"/>
            <w:tcBorders>
              <w:top w:val="nil"/>
              <w:left w:val="nil"/>
              <w:bottom w:val="single" w:sz="8" w:space="0" w:color="45A7E1"/>
              <w:right w:val="single" w:sz="8" w:space="0" w:color="45A7E1"/>
            </w:tcBorders>
            <w:shd w:val="clear" w:color="000000" w:fill="DBE4ED"/>
            <w:noWrap/>
            <w:vAlign w:val="center"/>
            <w:hideMark/>
          </w:tcPr>
          <w:p w14:paraId="0FE86ED9" w14:textId="77777777" w:rsidR="001A5627" w:rsidRPr="003506E5" w:rsidRDefault="001A5627" w:rsidP="001A5627">
            <w:pPr>
              <w:spacing w:after="0" w:line="240" w:lineRule="auto"/>
              <w:jc w:val="center"/>
              <w:rPr>
                <w:rFonts w:eastAsia="Times New Roman"/>
                <w:color w:val="000000"/>
                <w:sz w:val="20"/>
                <w:szCs w:val="20"/>
                <w:lang w:eastAsia="en-US"/>
              </w:rPr>
            </w:pPr>
            <w:r w:rsidRPr="003506E5">
              <w:rPr>
                <w:rFonts w:eastAsia="Times New Roman"/>
                <w:sz w:val="20"/>
                <w:szCs w:val="20"/>
                <w:lang w:eastAsia="en-US"/>
              </w:rPr>
              <w:t>1693</w:t>
            </w:r>
          </w:p>
        </w:tc>
        <w:tc>
          <w:tcPr>
            <w:tcW w:w="1435" w:type="dxa"/>
            <w:tcBorders>
              <w:top w:val="nil"/>
              <w:left w:val="nil"/>
              <w:bottom w:val="single" w:sz="8" w:space="0" w:color="45A7E1"/>
              <w:right w:val="single" w:sz="8" w:space="0" w:color="45A7E1"/>
            </w:tcBorders>
            <w:shd w:val="clear" w:color="000000" w:fill="DBE4ED"/>
            <w:noWrap/>
            <w:vAlign w:val="center"/>
            <w:hideMark/>
          </w:tcPr>
          <w:p w14:paraId="62F12A43" w14:textId="77777777" w:rsidR="001A5627" w:rsidRPr="003506E5" w:rsidRDefault="001A5627" w:rsidP="001A5627">
            <w:pPr>
              <w:spacing w:after="0" w:line="240" w:lineRule="auto"/>
              <w:jc w:val="center"/>
              <w:rPr>
                <w:rFonts w:eastAsia="Times New Roman"/>
                <w:color w:val="000000"/>
                <w:sz w:val="20"/>
                <w:szCs w:val="20"/>
                <w:lang w:eastAsia="en-US"/>
              </w:rPr>
            </w:pPr>
            <w:r w:rsidRPr="003506E5">
              <w:rPr>
                <w:rFonts w:eastAsia="Times New Roman"/>
                <w:sz w:val="20"/>
                <w:szCs w:val="20"/>
                <w:lang w:eastAsia="en-US"/>
              </w:rPr>
              <w:t>8848</w:t>
            </w:r>
          </w:p>
        </w:tc>
        <w:tc>
          <w:tcPr>
            <w:tcW w:w="1487" w:type="dxa"/>
            <w:tcBorders>
              <w:top w:val="nil"/>
              <w:left w:val="nil"/>
              <w:bottom w:val="single" w:sz="8" w:space="0" w:color="45A7E1"/>
              <w:right w:val="single" w:sz="8" w:space="0" w:color="45A7E1"/>
            </w:tcBorders>
            <w:shd w:val="clear" w:color="000000" w:fill="DBE4ED"/>
            <w:noWrap/>
            <w:vAlign w:val="center"/>
            <w:hideMark/>
          </w:tcPr>
          <w:p w14:paraId="58EF255A" w14:textId="77777777" w:rsidR="001A5627" w:rsidRPr="003506E5" w:rsidRDefault="001A5627" w:rsidP="001A5627">
            <w:pPr>
              <w:spacing w:after="0" w:line="240" w:lineRule="auto"/>
              <w:jc w:val="center"/>
              <w:rPr>
                <w:rFonts w:eastAsia="Times New Roman"/>
                <w:color w:val="000000"/>
                <w:sz w:val="20"/>
                <w:szCs w:val="20"/>
                <w:lang w:eastAsia="en-US"/>
              </w:rPr>
            </w:pPr>
            <w:r w:rsidRPr="003506E5">
              <w:rPr>
                <w:rFonts w:eastAsia="Times New Roman"/>
                <w:sz w:val="20"/>
                <w:szCs w:val="20"/>
                <w:lang w:eastAsia="en-US"/>
              </w:rPr>
              <w:t>6998</w:t>
            </w:r>
          </w:p>
        </w:tc>
        <w:tc>
          <w:tcPr>
            <w:tcW w:w="1487" w:type="dxa"/>
            <w:tcBorders>
              <w:top w:val="nil"/>
              <w:left w:val="nil"/>
              <w:bottom w:val="single" w:sz="8" w:space="0" w:color="45A7E1"/>
              <w:right w:val="single" w:sz="8" w:space="0" w:color="45A7E1"/>
            </w:tcBorders>
            <w:shd w:val="clear" w:color="000000" w:fill="DBE4ED"/>
            <w:noWrap/>
            <w:vAlign w:val="center"/>
            <w:hideMark/>
          </w:tcPr>
          <w:p w14:paraId="6978E5CE" w14:textId="77777777" w:rsidR="001A5627" w:rsidRPr="003506E5" w:rsidRDefault="001A5627" w:rsidP="001A5627">
            <w:pPr>
              <w:spacing w:after="0" w:line="240" w:lineRule="auto"/>
              <w:jc w:val="center"/>
              <w:rPr>
                <w:rFonts w:eastAsia="Times New Roman"/>
                <w:color w:val="000000"/>
                <w:sz w:val="20"/>
                <w:szCs w:val="20"/>
                <w:lang w:eastAsia="en-US"/>
              </w:rPr>
            </w:pPr>
            <w:r w:rsidRPr="003506E5">
              <w:rPr>
                <w:rFonts w:eastAsia="Times New Roman"/>
                <w:sz w:val="20"/>
                <w:szCs w:val="20"/>
                <w:lang w:eastAsia="en-US"/>
              </w:rPr>
              <w:t>34290</w:t>
            </w:r>
          </w:p>
        </w:tc>
        <w:tc>
          <w:tcPr>
            <w:tcW w:w="1678" w:type="dxa"/>
            <w:tcBorders>
              <w:top w:val="nil"/>
              <w:left w:val="nil"/>
              <w:bottom w:val="single" w:sz="8" w:space="0" w:color="45A7E1"/>
              <w:right w:val="single" w:sz="8" w:space="0" w:color="45A7E1"/>
            </w:tcBorders>
            <w:shd w:val="clear" w:color="000000" w:fill="DBE4ED"/>
            <w:noWrap/>
            <w:vAlign w:val="center"/>
            <w:hideMark/>
          </w:tcPr>
          <w:p w14:paraId="5E14F031" w14:textId="77777777" w:rsidR="001A5627" w:rsidRPr="003506E5" w:rsidRDefault="001A5627" w:rsidP="001A5627">
            <w:pPr>
              <w:spacing w:after="0" w:line="240" w:lineRule="auto"/>
              <w:jc w:val="center"/>
              <w:rPr>
                <w:rFonts w:eastAsia="Times New Roman"/>
                <w:color w:val="000000"/>
                <w:sz w:val="20"/>
                <w:szCs w:val="20"/>
                <w:lang w:eastAsia="en-US"/>
              </w:rPr>
            </w:pPr>
            <w:r w:rsidRPr="003506E5">
              <w:rPr>
                <w:rFonts w:eastAsia="Times New Roman"/>
                <w:sz w:val="20"/>
                <w:szCs w:val="20"/>
                <w:lang w:eastAsia="en-US"/>
              </w:rPr>
              <w:t>92%</w:t>
            </w:r>
          </w:p>
        </w:tc>
      </w:tr>
      <w:tr w:rsidR="001A5627" w:rsidRPr="003506E5" w14:paraId="3612CAB6" w14:textId="77777777" w:rsidTr="007049C3">
        <w:trPr>
          <w:trHeight w:val="317"/>
        </w:trPr>
        <w:tc>
          <w:tcPr>
            <w:tcW w:w="1610" w:type="dxa"/>
            <w:tcBorders>
              <w:top w:val="nil"/>
              <w:left w:val="single" w:sz="8" w:space="0" w:color="45A7E1"/>
              <w:bottom w:val="single" w:sz="8" w:space="0" w:color="45A7E1"/>
              <w:right w:val="single" w:sz="8" w:space="0" w:color="45A7E1"/>
            </w:tcBorders>
            <w:shd w:val="clear" w:color="000000" w:fill="DBE4ED"/>
            <w:noWrap/>
            <w:vAlign w:val="center"/>
            <w:hideMark/>
          </w:tcPr>
          <w:p w14:paraId="57C5BB31" w14:textId="77777777" w:rsidR="001A5627" w:rsidRPr="003506E5" w:rsidRDefault="001A5627" w:rsidP="001A5627">
            <w:pPr>
              <w:spacing w:after="0" w:line="240" w:lineRule="auto"/>
              <w:jc w:val="both"/>
              <w:rPr>
                <w:rFonts w:eastAsia="Times New Roman"/>
                <w:b/>
                <w:bCs/>
                <w:color w:val="0B1F51"/>
                <w:sz w:val="20"/>
                <w:szCs w:val="20"/>
                <w:lang w:eastAsia="en-US"/>
              </w:rPr>
            </w:pPr>
            <w:r w:rsidRPr="003506E5">
              <w:rPr>
                <w:rFonts w:eastAsia="Arial"/>
                <w:b/>
                <w:bCs/>
                <w:color w:val="0B1F51"/>
                <w:sz w:val="20"/>
                <w:szCs w:val="20"/>
                <w:lang w:eastAsia="en-US"/>
              </w:rPr>
              <w:t>Jan-Jun 2020</w:t>
            </w:r>
          </w:p>
        </w:tc>
        <w:tc>
          <w:tcPr>
            <w:tcW w:w="1328" w:type="dxa"/>
            <w:tcBorders>
              <w:top w:val="nil"/>
              <w:left w:val="nil"/>
              <w:bottom w:val="single" w:sz="8" w:space="0" w:color="45A7E1"/>
              <w:right w:val="single" w:sz="8" w:space="0" w:color="45A7E1"/>
            </w:tcBorders>
            <w:shd w:val="clear" w:color="000000" w:fill="DBE4ED"/>
            <w:noWrap/>
            <w:vAlign w:val="center"/>
            <w:hideMark/>
          </w:tcPr>
          <w:p w14:paraId="57AB359E" w14:textId="77777777" w:rsidR="001A5627" w:rsidRPr="003506E5" w:rsidRDefault="001A5627" w:rsidP="001A5627">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103</w:t>
            </w:r>
          </w:p>
        </w:tc>
        <w:tc>
          <w:tcPr>
            <w:tcW w:w="1435" w:type="dxa"/>
            <w:tcBorders>
              <w:top w:val="nil"/>
              <w:left w:val="nil"/>
              <w:bottom w:val="single" w:sz="8" w:space="0" w:color="45A7E1"/>
              <w:right w:val="single" w:sz="8" w:space="0" w:color="45A7E1"/>
            </w:tcBorders>
            <w:shd w:val="clear" w:color="000000" w:fill="DBE4ED"/>
            <w:noWrap/>
            <w:vAlign w:val="center"/>
            <w:hideMark/>
          </w:tcPr>
          <w:p w14:paraId="5E34E10A" w14:textId="77777777" w:rsidR="001A5627" w:rsidRPr="003506E5" w:rsidRDefault="001A5627" w:rsidP="001A5627">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555</w:t>
            </w:r>
          </w:p>
        </w:tc>
        <w:tc>
          <w:tcPr>
            <w:tcW w:w="1487" w:type="dxa"/>
            <w:tcBorders>
              <w:top w:val="nil"/>
              <w:left w:val="nil"/>
              <w:bottom w:val="single" w:sz="8" w:space="0" w:color="45A7E1"/>
              <w:right w:val="single" w:sz="8" w:space="0" w:color="45A7E1"/>
            </w:tcBorders>
            <w:shd w:val="clear" w:color="000000" w:fill="DBE4ED"/>
            <w:noWrap/>
            <w:vAlign w:val="center"/>
            <w:hideMark/>
          </w:tcPr>
          <w:p w14:paraId="2DAA1307" w14:textId="77777777" w:rsidR="001A5627" w:rsidRPr="003506E5" w:rsidRDefault="001A5627" w:rsidP="001A5627">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7101</w:t>
            </w:r>
          </w:p>
        </w:tc>
        <w:tc>
          <w:tcPr>
            <w:tcW w:w="1487" w:type="dxa"/>
            <w:tcBorders>
              <w:top w:val="nil"/>
              <w:left w:val="nil"/>
              <w:bottom w:val="single" w:sz="8" w:space="0" w:color="45A7E1"/>
              <w:right w:val="single" w:sz="8" w:space="0" w:color="45A7E1"/>
            </w:tcBorders>
            <w:shd w:val="clear" w:color="000000" w:fill="DBE4ED"/>
            <w:noWrap/>
            <w:vAlign w:val="center"/>
            <w:hideMark/>
          </w:tcPr>
          <w:p w14:paraId="70A8B793" w14:textId="77777777" w:rsidR="001A5627" w:rsidRPr="003506E5" w:rsidRDefault="001A5627" w:rsidP="001A5627">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34845</w:t>
            </w:r>
          </w:p>
        </w:tc>
        <w:tc>
          <w:tcPr>
            <w:tcW w:w="1678" w:type="dxa"/>
            <w:tcBorders>
              <w:top w:val="nil"/>
              <w:left w:val="nil"/>
              <w:bottom w:val="single" w:sz="8" w:space="0" w:color="45A7E1"/>
              <w:right w:val="single" w:sz="8" w:space="0" w:color="45A7E1"/>
            </w:tcBorders>
            <w:shd w:val="clear" w:color="000000" w:fill="DBE4ED"/>
            <w:noWrap/>
            <w:vAlign w:val="center"/>
            <w:hideMark/>
          </w:tcPr>
          <w:p w14:paraId="13977FE9" w14:textId="77777777" w:rsidR="001A5627" w:rsidRPr="003506E5" w:rsidRDefault="001A5627" w:rsidP="001A5627">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94%</w:t>
            </w:r>
          </w:p>
        </w:tc>
      </w:tr>
      <w:tr w:rsidR="001A5627" w:rsidRPr="003506E5" w14:paraId="21690C1C" w14:textId="77777777" w:rsidTr="007049C3">
        <w:trPr>
          <w:trHeight w:val="317"/>
        </w:trPr>
        <w:tc>
          <w:tcPr>
            <w:tcW w:w="1610" w:type="dxa"/>
            <w:tcBorders>
              <w:top w:val="nil"/>
              <w:left w:val="single" w:sz="8" w:space="0" w:color="45A7E1"/>
              <w:bottom w:val="single" w:sz="8" w:space="0" w:color="45A7E1"/>
              <w:right w:val="single" w:sz="8" w:space="0" w:color="45A7E1"/>
            </w:tcBorders>
            <w:shd w:val="clear" w:color="000000" w:fill="DBE4ED"/>
            <w:noWrap/>
            <w:vAlign w:val="center"/>
            <w:hideMark/>
          </w:tcPr>
          <w:p w14:paraId="09F78362" w14:textId="77777777" w:rsidR="001A5627" w:rsidRPr="003506E5" w:rsidRDefault="001A5627" w:rsidP="001A5627">
            <w:pPr>
              <w:spacing w:after="0" w:line="240" w:lineRule="auto"/>
              <w:jc w:val="both"/>
              <w:rPr>
                <w:rFonts w:eastAsia="Times New Roman"/>
                <w:b/>
                <w:bCs/>
                <w:color w:val="0B1F51"/>
                <w:sz w:val="20"/>
                <w:szCs w:val="20"/>
                <w:lang w:eastAsia="en-US"/>
              </w:rPr>
            </w:pPr>
            <w:r w:rsidRPr="003506E5">
              <w:rPr>
                <w:rFonts w:eastAsia="Times New Roman"/>
                <w:b/>
                <w:bCs/>
                <w:color w:val="0B1F51"/>
                <w:sz w:val="20"/>
                <w:szCs w:val="20"/>
                <w:lang w:eastAsia="en-US"/>
              </w:rPr>
              <w:t>Jul-Dec 2020</w:t>
            </w:r>
          </w:p>
        </w:tc>
        <w:tc>
          <w:tcPr>
            <w:tcW w:w="1328" w:type="dxa"/>
            <w:tcBorders>
              <w:top w:val="nil"/>
              <w:left w:val="nil"/>
              <w:bottom w:val="single" w:sz="8" w:space="0" w:color="45A7E1"/>
              <w:right w:val="single" w:sz="8" w:space="0" w:color="45A7E1"/>
            </w:tcBorders>
            <w:shd w:val="clear" w:color="000000" w:fill="DBE4ED"/>
            <w:noWrap/>
            <w:vAlign w:val="center"/>
            <w:hideMark/>
          </w:tcPr>
          <w:p w14:paraId="77780337" w14:textId="77777777" w:rsidR="001A5627" w:rsidRPr="003506E5" w:rsidRDefault="001A5627" w:rsidP="001A5627">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600</w:t>
            </w:r>
          </w:p>
        </w:tc>
        <w:tc>
          <w:tcPr>
            <w:tcW w:w="1435" w:type="dxa"/>
            <w:tcBorders>
              <w:top w:val="nil"/>
              <w:left w:val="nil"/>
              <w:bottom w:val="single" w:sz="8" w:space="0" w:color="45A7E1"/>
              <w:right w:val="single" w:sz="8" w:space="0" w:color="45A7E1"/>
            </w:tcBorders>
            <w:shd w:val="clear" w:color="000000" w:fill="DBE4ED"/>
            <w:noWrap/>
            <w:vAlign w:val="center"/>
            <w:hideMark/>
          </w:tcPr>
          <w:p w14:paraId="52205329" w14:textId="77777777" w:rsidR="001A5627" w:rsidRPr="003506E5" w:rsidRDefault="001A5627" w:rsidP="001A5627">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2963</w:t>
            </w:r>
          </w:p>
        </w:tc>
        <w:tc>
          <w:tcPr>
            <w:tcW w:w="1487" w:type="dxa"/>
            <w:tcBorders>
              <w:top w:val="nil"/>
              <w:left w:val="nil"/>
              <w:bottom w:val="single" w:sz="8" w:space="0" w:color="45A7E1"/>
              <w:right w:val="single" w:sz="8" w:space="0" w:color="45A7E1"/>
            </w:tcBorders>
            <w:shd w:val="clear" w:color="000000" w:fill="DBE4ED"/>
            <w:noWrap/>
            <w:vAlign w:val="center"/>
            <w:hideMark/>
          </w:tcPr>
          <w:p w14:paraId="3D23213D" w14:textId="77777777" w:rsidR="001A5627" w:rsidRPr="003506E5" w:rsidRDefault="001A5627" w:rsidP="001A5627">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7701</w:t>
            </w:r>
          </w:p>
        </w:tc>
        <w:tc>
          <w:tcPr>
            <w:tcW w:w="1487" w:type="dxa"/>
            <w:tcBorders>
              <w:top w:val="nil"/>
              <w:left w:val="nil"/>
              <w:bottom w:val="single" w:sz="8" w:space="0" w:color="45A7E1"/>
              <w:right w:val="single" w:sz="8" w:space="0" w:color="45A7E1"/>
            </w:tcBorders>
            <w:shd w:val="clear" w:color="000000" w:fill="DBE4ED"/>
            <w:noWrap/>
            <w:vAlign w:val="center"/>
            <w:hideMark/>
          </w:tcPr>
          <w:p w14:paraId="07BEF6BB" w14:textId="77777777" w:rsidR="001A5627" w:rsidRPr="003506E5" w:rsidRDefault="001A5627" w:rsidP="001A5627">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37808</w:t>
            </w:r>
          </w:p>
        </w:tc>
        <w:tc>
          <w:tcPr>
            <w:tcW w:w="1678" w:type="dxa"/>
            <w:tcBorders>
              <w:top w:val="nil"/>
              <w:left w:val="nil"/>
              <w:bottom w:val="single" w:sz="8" w:space="0" w:color="45A7E1"/>
              <w:right w:val="single" w:sz="8" w:space="0" w:color="45A7E1"/>
            </w:tcBorders>
            <w:shd w:val="clear" w:color="000000" w:fill="DBE4ED"/>
            <w:noWrap/>
            <w:vAlign w:val="center"/>
            <w:hideMark/>
          </w:tcPr>
          <w:p w14:paraId="440C280B" w14:textId="77777777" w:rsidR="001A5627" w:rsidRPr="003506E5" w:rsidRDefault="001A5627" w:rsidP="001A5627">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102%</w:t>
            </w:r>
          </w:p>
        </w:tc>
      </w:tr>
    </w:tbl>
    <w:p w14:paraId="68F3BF6C" w14:textId="579DA7F7" w:rsidR="001A5627" w:rsidRPr="003506E5" w:rsidRDefault="001A5627" w:rsidP="001A5627">
      <w:pPr>
        <w:pStyle w:val="BodyText"/>
      </w:pPr>
    </w:p>
    <w:p w14:paraId="5641A544" w14:textId="3E84D2BC" w:rsidR="002B017E" w:rsidRPr="003506E5" w:rsidRDefault="007049C3" w:rsidP="001A5627">
      <w:pPr>
        <w:pStyle w:val="BodyText"/>
      </w:pPr>
      <w:r w:rsidRPr="003506E5">
        <w:t xml:space="preserve">Age groups of enrolled beneficiaries </w:t>
      </w:r>
      <w:r w:rsidR="00357467" w:rsidRPr="003506E5">
        <w:t>from wider population is given in the following table.</w:t>
      </w:r>
    </w:p>
    <w:p w14:paraId="7EDA33E7" w14:textId="0CD3A748" w:rsidR="005F5304" w:rsidRPr="003506E5" w:rsidRDefault="005F5304" w:rsidP="005F5304">
      <w:pPr>
        <w:pStyle w:val="Caption"/>
      </w:pPr>
      <w:bookmarkStart w:id="32" w:name="_Toc57215228"/>
      <w:r w:rsidRPr="003506E5">
        <w:t xml:space="preserve">Table </w:t>
      </w:r>
      <w:r w:rsidR="00B76041" w:rsidRPr="003506E5">
        <w:fldChar w:fldCharType="begin"/>
      </w:r>
      <w:r w:rsidRPr="003506E5">
        <w:instrText xml:space="preserve"> SEQ Table \* ARABIC </w:instrText>
      </w:r>
      <w:r w:rsidR="00B76041" w:rsidRPr="003506E5">
        <w:fldChar w:fldCharType="separate"/>
      </w:r>
      <w:r w:rsidR="00AE4FA0">
        <w:rPr>
          <w:noProof/>
        </w:rPr>
        <w:t>8</w:t>
      </w:r>
      <w:r w:rsidR="00B76041" w:rsidRPr="003506E5">
        <w:fldChar w:fldCharType="end"/>
      </w:r>
      <w:r w:rsidRPr="003506E5">
        <w:t>: Distribution of enrolled wider population by Gender and Age Group</w:t>
      </w:r>
      <w:bookmarkEnd w:id="32"/>
    </w:p>
    <w:tbl>
      <w:tblPr>
        <w:tblW w:w="9153" w:type="dxa"/>
        <w:tblLook w:val="04A0" w:firstRow="1" w:lastRow="0" w:firstColumn="1" w:lastColumn="0" w:noHBand="0" w:noVBand="1"/>
      </w:tblPr>
      <w:tblGrid>
        <w:gridCol w:w="2901"/>
        <w:gridCol w:w="1944"/>
        <w:gridCol w:w="1436"/>
        <w:gridCol w:w="1436"/>
        <w:gridCol w:w="1436"/>
      </w:tblGrid>
      <w:tr w:rsidR="00D342DF" w:rsidRPr="003506E5" w14:paraId="4F24565E" w14:textId="77777777" w:rsidTr="00D342DF">
        <w:trPr>
          <w:trHeight w:val="278"/>
        </w:trPr>
        <w:tc>
          <w:tcPr>
            <w:tcW w:w="2901" w:type="dxa"/>
            <w:vMerge w:val="restart"/>
            <w:tcBorders>
              <w:top w:val="single" w:sz="8" w:space="0" w:color="45A7E1"/>
              <w:left w:val="single" w:sz="8" w:space="0" w:color="45A7E1"/>
              <w:bottom w:val="single" w:sz="8" w:space="0" w:color="45A7E1"/>
              <w:right w:val="single" w:sz="8" w:space="0" w:color="45A7E1"/>
            </w:tcBorders>
            <w:shd w:val="clear" w:color="000000" w:fill="0B1F51"/>
            <w:vAlign w:val="center"/>
            <w:hideMark/>
          </w:tcPr>
          <w:p w14:paraId="6FE03939" w14:textId="77777777" w:rsidR="00D342DF" w:rsidRPr="003506E5" w:rsidRDefault="00D342DF" w:rsidP="00D342DF">
            <w:pPr>
              <w:spacing w:after="0" w:line="240" w:lineRule="auto"/>
              <w:rPr>
                <w:rFonts w:eastAsia="Times New Roman"/>
                <w:color w:val="FFFFFF"/>
                <w:sz w:val="20"/>
                <w:szCs w:val="20"/>
                <w:lang w:eastAsia="en-US"/>
              </w:rPr>
            </w:pPr>
            <w:r w:rsidRPr="003506E5">
              <w:rPr>
                <w:rFonts w:eastAsia="Times New Roman"/>
                <w:color w:val="FFFFFF"/>
                <w:sz w:val="20"/>
                <w:szCs w:val="20"/>
                <w:lang w:eastAsia="en-US"/>
              </w:rPr>
              <w:t>Age Group</w:t>
            </w:r>
          </w:p>
        </w:tc>
        <w:tc>
          <w:tcPr>
            <w:tcW w:w="3380" w:type="dxa"/>
            <w:gridSpan w:val="2"/>
            <w:tcBorders>
              <w:top w:val="single" w:sz="8" w:space="0" w:color="45A7E1"/>
              <w:left w:val="nil"/>
              <w:bottom w:val="single" w:sz="8" w:space="0" w:color="45A7E1"/>
              <w:right w:val="single" w:sz="8" w:space="0" w:color="45A7E1"/>
            </w:tcBorders>
            <w:shd w:val="clear" w:color="000000" w:fill="0B1F51"/>
            <w:vAlign w:val="center"/>
            <w:hideMark/>
          </w:tcPr>
          <w:p w14:paraId="0800435C" w14:textId="77777777" w:rsidR="00D342DF" w:rsidRPr="003506E5" w:rsidRDefault="00D342DF" w:rsidP="00D342DF">
            <w:pPr>
              <w:spacing w:after="0" w:line="240" w:lineRule="auto"/>
              <w:jc w:val="center"/>
              <w:rPr>
                <w:rFonts w:eastAsia="Times New Roman"/>
                <w:color w:val="FFFFFF"/>
                <w:sz w:val="20"/>
                <w:szCs w:val="20"/>
                <w:lang w:eastAsia="en-US"/>
              </w:rPr>
            </w:pPr>
            <w:r w:rsidRPr="003506E5">
              <w:rPr>
                <w:rFonts w:eastAsia="Times New Roman"/>
                <w:color w:val="FFFFFF"/>
                <w:sz w:val="20"/>
                <w:szCs w:val="20"/>
                <w:lang w:eastAsia="en-US"/>
              </w:rPr>
              <w:t>Wider</w:t>
            </w:r>
          </w:p>
        </w:tc>
        <w:tc>
          <w:tcPr>
            <w:tcW w:w="1436" w:type="dxa"/>
            <w:vMerge w:val="restart"/>
            <w:tcBorders>
              <w:top w:val="single" w:sz="8" w:space="0" w:color="45A7E1"/>
              <w:left w:val="single" w:sz="8" w:space="0" w:color="45A7E1"/>
              <w:bottom w:val="single" w:sz="8" w:space="0" w:color="45A7E1"/>
              <w:right w:val="single" w:sz="8" w:space="0" w:color="45A7E1"/>
            </w:tcBorders>
            <w:shd w:val="clear" w:color="000000" w:fill="0B1F51"/>
            <w:vAlign w:val="center"/>
            <w:hideMark/>
          </w:tcPr>
          <w:p w14:paraId="0D24D972" w14:textId="77777777" w:rsidR="00D342DF" w:rsidRPr="003506E5" w:rsidRDefault="00D342DF" w:rsidP="00D342DF">
            <w:pPr>
              <w:spacing w:after="0" w:line="240" w:lineRule="auto"/>
              <w:jc w:val="center"/>
              <w:rPr>
                <w:rFonts w:eastAsia="Times New Roman"/>
                <w:color w:val="FFFFFF"/>
                <w:sz w:val="20"/>
                <w:szCs w:val="20"/>
                <w:lang w:eastAsia="en-US"/>
              </w:rPr>
            </w:pPr>
            <w:r w:rsidRPr="003506E5">
              <w:rPr>
                <w:rFonts w:eastAsia="Times New Roman"/>
                <w:color w:val="FFFFFF"/>
                <w:sz w:val="20"/>
                <w:szCs w:val="20"/>
                <w:lang w:eastAsia="en-US"/>
              </w:rPr>
              <w:t>Total</w:t>
            </w:r>
          </w:p>
        </w:tc>
        <w:tc>
          <w:tcPr>
            <w:tcW w:w="1436" w:type="dxa"/>
            <w:vMerge w:val="restart"/>
            <w:tcBorders>
              <w:top w:val="single" w:sz="8" w:space="0" w:color="45A7E1"/>
              <w:left w:val="single" w:sz="8" w:space="0" w:color="45A7E1"/>
              <w:bottom w:val="single" w:sz="8" w:space="0" w:color="45A7E1"/>
              <w:right w:val="single" w:sz="8" w:space="0" w:color="45A7E1"/>
            </w:tcBorders>
            <w:shd w:val="clear" w:color="000000" w:fill="0B1F51"/>
            <w:vAlign w:val="center"/>
            <w:hideMark/>
          </w:tcPr>
          <w:p w14:paraId="59B6A6A8" w14:textId="77777777" w:rsidR="00D342DF" w:rsidRPr="003506E5" w:rsidRDefault="00D342DF" w:rsidP="00D342DF">
            <w:pPr>
              <w:spacing w:after="0" w:line="240" w:lineRule="auto"/>
              <w:jc w:val="center"/>
              <w:rPr>
                <w:rFonts w:eastAsia="Times New Roman"/>
                <w:color w:val="FFFFFF"/>
                <w:sz w:val="20"/>
                <w:szCs w:val="20"/>
                <w:lang w:eastAsia="en-US"/>
              </w:rPr>
            </w:pPr>
            <w:r w:rsidRPr="003506E5">
              <w:rPr>
                <w:rFonts w:eastAsia="Times New Roman"/>
                <w:color w:val="FFFFFF"/>
                <w:sz w:val="20"/>
                <w:szCs w:val="20"/>
                <w:lang w:eastAsia="en-US"/>
              </w:rPr>
              <w:t>% by Age Group</w:t>
            </w:r>
          </w:p>
        </w:tc>
      </w:tr>
      <w:tr w:rsidR="00D342DF" w:rsidRPr="003506E5" w14:paraId="54D164FB" w14:textId="77777777" w:rsidTr="00D342DF">
        <w:trPr>
          <w:trHeight w:val="278"/>
        </w:trPr>
        <w:tc>
          <w:tcPr>
            <w:tcW w:w="2901" w:type="dxa"/>
            <w:vMerge/>
            <w:tcBorders>
              <w:top w:val="single" w:sz="8" w:space="0" w:color="45A7E1"/>
              <w:left w:val="single" w:sz="8" w:space="0" w:color="45A7E1"/>
              <w:bottom w:val="single" w:sz="8" w:space="0" w:color="45A7E1"/>
              <w:right w:val="single" w:sz="8" w:space="0" w:color="45A7E1"/>
            </w:tcBorders>
            <w:vAlign w:val="center"/>
            <w:hideMark/>
          </w:tcPr>
          <w:p w14:paraId="40123E19" w14:textId="77777777" w:rsidR="00D342DF" w:rsidRPr="003506E5" w:rsidRDefault="00D342DF" w:rsidP="00D342DF">
            <w:pPr>
              <w:spacing w:after="0" w:line="240" w:lineRule="auto"/>
              <w:rPr>
                <w:rFonts w:eastAsia="Times New Roman"/>
                <w:color w:val="FFFFFF"/>
                <w:sz w:val="20"/>
                <w:szCs w:val="20"/>
                <w:lang w:eastAsia="en-US"/>
              </w:rPr>
            </w:pPr>
          </w:p>
        </w:tc>
        <w:tc>
          <w:tcPr>
            <w:tcW w:w="1944" w:type="dxa"/>
            <w:tcBorders>
              <w:top w:val="nil"/>
              <w:left w:val="nil"/>
              <w:bottom w:val="single" w:sz="8" w:space="0" w:color="45A7E1"/>
              <w:right w:val="single" w:sz="8" w:space="0" w:color="45A7E1"/>
            </w:tcBorders>
            <w:shd w:val="clear" w:color="000000" w:fill="0A1F50"/>
            <w:vAlign w:val="center"/>
            <w:hideMark/>
          </w:tcPr>
          <w:p w14:paraId="16E518C8" w14:textId="77777777" w:rsidR="00D342DF" w:rsidRPr="003506E5" w:rsidRDefault="00D342DF" w:rsidP="00D342DF">
            <w:pPr>
              <w:spacing w:after="0" w:line="240" w:lineRule="auto"/>
              <w:jc w:val="center"/>
              <w:rPr>
                <w:rFonts w:eastAsia="Times New Roman"/>
                <w:color w:val="FFFFFF"/>
                <w:sz w:val="20"/>
                <w:szCs w:val="20"/>
                <w:lang w:eastAsia="en-US"/>
              </w:rPr>
            </w:pPr>
            <w:r w:rsidRPr="003506E5">
              <w:rPr>
                <w:rFonts w:eastAsia="Times New Roman"/>
                <w:color w:val="FFFFFF"/>
                <w:sz w:val="20"/>
                <w:szCs w:val="20"/>
                <w:lang w:eastAsia="en-US"/>
              </w:rPr>
              <w:t>Male</w:t>
            </w:r>
          </w:p>
        </w:tc>
        <w:tc>
          <w:tcPr>
            <w:tcW w:w="1436" w:type="dxa"/>
            <w:tcBorders>
              <w:top w:val="nil"/>
              <w:left w:val="nil"/>
              <w:bottom w:val="single" w:sz="8" w:space="0" w:color="45A7E1"/>
              <w:right w:val="single" w:sz="8" w:space="0" w:color="45A7E1"/>
            </w:tcBorders>
            <w:shd w:val="clear" w:color="000000" w:fill="0A1F50"/>
            <w:vAlign w:val="center"/>
            <w:hideMark/>
          </w:tcPr>
          <w:p w14:paraId="6DF46002" w14:textId="77777777" w:rsidR="00D342DF" w:rsidRPr="003506E5" w:rsidRDefault="00D342DF" w:rsidP="00D342DF">
            <w:pPr>
              <w:spacing w:after="0" w:line="240" w:lineRule="auto"/>
              <w:jc w:val="center"/>
              <w:rPr>
                <w:rFonts w:eastAsia="Times New Roman"/>
                <w:color w:val="FFFFFF"/>
                <w:sz w:val="20"/>
                <w:szCs w:val="20"/>
                <w:lang w:eastAsia="en-US"/>
              </w:rPr>
            </w:pPr>
            <w:r w:rsidRPr="003506E5">
              <w:rPr>
                <w:rFonts w:eastAsia="Times New Roman"/>
                <w:color w:val="FFFFFF"/>
                <w:sz w:val="20"/>
                <w:szCs w:val="20"/>
                <w:lang w:eastAsia="en-US"/>
              </w:rPr>
              <w:t>Female</w:t>
            </w:r>
          </w:p>
        </w:tc>
        <w:tc>
          <w:tcPr>
            <w:tcW w:w="1436" w:type="dxa"/>
            <w:vMerge/>
            <w:tcBorders>
              <w:top w:val="single" w:sz="8" w:space="0" w:color="45A7E1"/>
              <w:left w:val="single" w:sz="8" w:space="0" w:color="45A7E1"/>
              <w:bottom w:val="single" w:sz="8" w:space="0" w:color="45A7E1"/>
              <w:right w:val="single" w:sz="8" w:space="0" w:color="45A7E1"/>
            </w:tcBorders>
            <w:vAlign w:val="center"/>
            <w:hideMark/>
          </w:tcPr>
          <w:p w14:paraId="53142523" w14:textId="77777777" w:rsidR="00D342DF" w:rsidRPr="003506E5" w:rsidRDefault="00D342DF" w:rsidP="00D342DF">
            <w:pPr>
              <w:spacing w:after="0" w:line="240" w:lineRule="auto"/>
              <w:rPr>
                <w:rFonts w:eastAsia="Times New Roman"/>
                <w:color w:val="FFFFFF"/>
                <w:sz w:val="20"/>
                <w:szCs w:val="20"/>
                <w:lang w:eastAsia="en-US"/>
              </w:rPr>
            </w:pPr>
          </w:p>
        </w:tc>
        <w:tc>
          <w:tcPr>
            <w:tcW w:w="1436" w:type="dxa"/>
            <w:vMerge/>
            <w:tcBorders>
              <w:top w:val="single" w:sz="8" w:space="0" w:color="45A7E1"/>
              <w:left w:val="single" w:sz="8" w:space="0" w:color="45A7E1"/>
              <w:bottom w:val="single" w:sz="8" w:space="0" w:color="45A7E1"/>
              <w:right w:val="single" w:sz="8" w:space="0" w:color="45A7E1"/>
            </w:tcBorders>
            <w:vAlign w:val="center"/>
            <w:hideMark/>
          </w:tcPr>
          <w:p w14:paraId="46E185A8" w14:textId="77777777" w:rsidR="00D342DF" w:rsidRPr="003506E5" w:rsidRDefault="00D342DF" w:rsidP="00D342DF">
            <w:pPr>
              <w:spacing w:after="0" w:line="240" w:lineRule="auto"/>
              <w:rPr>
                <w:rFonts w:eastAsia="Times New Roman"/>
                <w:color w:val="FFFFFF"/>
                <w:sz w:val="20"/>
                <w:szCs w:val="20"/>
                <w:lang w:eastAsia="en-US"/>
              </w:rPr>
            </w:pPr>
          </w:p>
        </w:tc>
      </w:tr>
      <w:tr w:rsidR="00D342DF" w:rsidRPr="003506E5" w14:paraId="3E839323" w14:textId="77777777" w:rsidTr="00D342DF">
        <w:trPr>
          <w:trHeight w:val="278"/>
        </w:trPr>
        <w:tc>
          <w:tcPr>
            <w:tcW w:w="2901" w:type="dxa"/>
            <w:tcBorders>
              <w:top w:val="nil"/>
              <w:left w:val="single" w:sz="8" w:space="0" w:color="45A7E1"/>
              <w:bottom w:val="single" w:sz="8" w:space="0" w:color="45A7E1"/>
              <w:right w:val="single" w:sz="8" w:space="0" w:color="45A7E1"/>
            </w:tcBorders>
            <w:shd w:val="clear" w:color="000000" w:fill="DBE4ED"/>
            <w:vAlign w:val="center"/>
            <w:hideMark/>
          </w:tcPr>
          <w:p w14:paraId="001BE10E" w14:textId="77777777" w:rsidR="00D342DF" w:rsidRPr="003506E5" w:rsidRDefault="00D342DF" w:rsidP="00D342DF">
            <w:pPr>
              <w:spacing w:after="0" w:line="240" w:lineRule="auto"/>
              <w:rPr>
                <w:rFonts w:eastAsia="Times New Roman"/>
                <w:b/>
                <w:bCs/>
                <w:color w:val="0B1F51"/>
                <w:sz w:val="20"/>
                <w:szCs w:val="20"/>
                <w:lang w:eastAsia="en-US"/>
              </w:rPr>
            </w:pPr>
            <w:r w:rsidRPr="003506E5">
              <w:rPr>
                <w:rFonts w:eastAsia="Times New Roman"/>
                <w:b/>
                <w:bCs/>
                <w:color w:val="0B1F51"/>
                <w:sz w:val="20"/>
                <w:szCs w:val="20"/>
                <w:lang w:eastAsia="en-US"/>
              </w:rPr>
              <w:t xml:space="preserve">Less than 1  </w:t>
            </w:r>
          </w:p>
        </w:tc>
        <w:tc>
          <w:tcPr>
            <w:tcW w:w="1944" w:type="dxa"/>
            <w:tcBorders>
              <w:top w:val="nil"/>
              <w:left w:val="nil"/>
              <w:bottom w:val="single" w:sz="8" w:space="0" w:color="45A7E1"/>
              <w:right w:val="single" w:sz="8" w:space="0" w:color="45A7E1"/>
            </w:tcBorders>
            <w:shd w:val="clear" w:color="000000" w:fill="DBE4ED"/>
            <w:vAlign w:val="center"/>
            <w:hideMark/>
          </w:tcPr>
          <w:p w14:paraId="489590D4" w14:textId="77777777" w:rsidR="00D342DF" w:rsidRPr="003506E5" w:rsidRDefault="00D342DF" w:rsidP="00D342DF">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626</w:t>
            </w:r>
          </w:p>
        </w:tc>
        <w:tc>
          <w:tcPr>
            <w:tcW w:w="1436" w:type="dxa"/>
            <w:tcBorders>
              <w:top w:val="nil"/>
              <w:left w:val="nil"/>
              <w:bottom w:val="single" w:sz="8" w:space="0" w:color="45A7E1"/>
              <w:right w:val="single" w:sz="8" w:space="0" w:color="45A7E1"/>
            </w:tcBorders>
            <w:shd w:val="clear" w:color="000000" w:fill="DBE4ED"/>
            <w:vAlign w:val="center"/>
            <w:hideMark/>
          </w:tcPr>
          <w:p w14:paraId="2CE1FE71" w14:textId="77777777" w:rsidR="00D342DF" w:rsidRPr="003506E5" w:rsidRDefault="00D342DF" w:rsidP="00D342DF">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642</w:t>
            </w:r>
          </w:p>
        </w:tc>
        <w:tc>
          <w:tcPr>
            <w:tcW w:w="1436" w:type="dxa"/>
            <w:tcBorders>
              <w:top w:val="nil"/>
              <w:left w:val="nil"/>
              <w:bottom w:val="single" w:sz="8" w:space="0" w:color="45A7E1"/>
              <w:right w:val="single" w:sz="8" w:space="0" w:color="45A7E1"/>
            </w:tcBorders>
            <w:shd w:val="clear" w:color="000000" w:fill="DBE4ED"/>
            <w:vAlign w:val="center"/>
            <w:hideMark/>
          </w:tcPr>
          <w:p w14:paraId="74EB0CB7" w14:textId="77777777" w:rsidR="00D342DF" w:rsidRPr="003506E5" w:rsidRDefault="00D342DF" w:rsidP="00D342DF">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1268</w:t>
            </w:r>
          </w:p>
        </w:tc>
        <w:tc>
          <w:tcPr>
            <w:tcW w:w="1436" w:type="dxa"/>
            <w:tcBorders>
              <w:top w:val="nil"/>
              <w:left w:val="nil"/>
              <w:bottom w:val="single" w:sz="8" w:space="0" w:color="45A7E1"/>
              <w:right w:val="single" w:sz="8" w:space="0" w:color="45A7E1"/>
            </w:tcBorders>
            <w:shd w:val="clear" w:color="000000" w:fill="DBE4ED"/>
            <w:vAlign w:val="center"/>
            <w:hideMark/>
          </w:tcPr>
          <w:p w14:paraId="7853B63F" w14:textId="5D122CE6" w:rsidR="00D342DF" w:rsidRPr="003506E5" w:rsidRDefault="00EF731C" w:rsidP="00D342DF">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3.4%</w:t>
            </w:r>
          </w:p>
        </w:tc>
      </w:tr>
      <w:tr w:rsidR="00D342DF" w:rsidRPr="003506E5" w14:paraId="14AE3C7C" w14:textId="77777777" w:rsidTr="00D342DF">
        <w:trPr>
          <w:trHeight w:val="278"/>
        </w:trPr>
        <w:tc>
          <w:tcPr>
            <w:tcW w:w="2901" w:type="dxa"/>
            <w:tcBorders>
              <w:top w:val="nil"/>
              <w:left w:val="single" w:sz="8" w:space="0" w:color="45A7E1"/>
              <w:bottom w:val="single" w:sz="8" w:space="0" w:color="45A7E1"/>
              <w:right w:val="single" w:sz="8" w:space="0" w:color="45A7E1"/>
            </w:tcBorders>
            <w:shd w:val="clear" w:color="000000" w:fill="DBE4ED"/>
            <w:vAlign w:val="center"/>
            <w:hideMark/>
          </w:tcPr>
          <w:p w14:paraId="58B0701E" w14:textId="77777777" w:rsidR="00D342DF" w:rsidRPr="003506E5" w:rsidRDefault="00D342DF" w:rsidP="00D342DF">
            <w:pPr>
              <w:spacing w:after="0" w:line="240" w:lineRule="auto"/>
              <w:rPr>
                <w:rFonts w:eastAsia="Times New Roman"/>
                <w:b/>
                <w:bCs/>
                <w:color w:val="0B1F51"/>
                <w:sz w:val="20"/>
                <w:szCs w:val="20"/>
                <w:lang w:eastAsia="en-US"/>
              </w:rPr>
            </w:pPr>
            <w:r w:rsidRPr="003506E5">
              <w:rPr>
                <w:rFonts w:eastAsia="Times New Roman"/>
                <w:b/>
                <w:bCs/>
                <w:color w:val="0B1F51"/>
                <w:sz w:val="20"/>
                <w:szCs w:val="20"/>
                <w:lang w:eastAsia="en-US"/>
              </w:rPr>
              <w:t>1 to 04 yrs.</w:t>
            </w:r>
          </w:p>
        </w:tc>
        <w:tc>
          <w:tcPr>
            <w:tcW w:w="1944" w:type="dxa"/>
            <w:tcBorders>
              <w:top w:val="nil"/>
              <w:left w:val="nil"/>
              <w:bottom w:val="single" w:sz="8" w:space="0" w:color="45A7E1"/>
              <w:right w:val="single" w:sz="8" w:space="0" w:color="45A7E1"/>
            </w:tcBorders>
            <w:shd w:val="clear" w:color="000000" w:fill="DBE4ED"/>
            <w:vAlign w:val="center"/>
            <w:hideMark/>
          </w:tcPr>
          <w:p w14:paraId="03CA16E7" w14:textId="77777777" w:rsidR="00D342DF" w:rsidRPr="003506E5" w:rsidRDefault="00D342DF" w:rsidP="00D342DF">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1426</w:t>
            </w:r>
          </w:p>
        </w:tc>
        <w:tc>
          <w:tcPr>
            <w:tcW w:w="1436" w:type="dxa"/>
            <w:tcBorders>
              <w:top w:val="nil"/>
              <w:left w:val="nil"/>
              <w:bottom w:val="single" w:sz="8" w:space="0" w:color="45A7E1"/>
              <w:right w:val="single" w:sz="8" w:space="0" w:color="45A7E1"/>
            </w:tcBorders>
            <w:shd w:val="clear" w:color="000000" w:fill="DBE4ED"/>
            <w:vAlign w:val="center"/>
            <w:hideMark/>
          </w:tcPr>
          <w:p w14:paraId="7ADD53E3" w14:textId="77777777" w:rsidR="00D342DF" w:rsidRPr="003506E5" w:rsidRDefault="00D342DF" w:rsidP="00D342DF">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1457</w:t>
            </w:r>
          </w:p>
        </w:tc>
        <w:tc>
          <w:tcPr>
            <w:tcW w:w="1436" w:type="dxa"/>
            <w:tcBorders>
              <w:top w:val="nil"/>
              <w:left w:val="nil"/>
              <w:bottom w:val="single" w:sz="8" w:space="0" w:color="45A7E1"/>
              <w:right w:val="single" w:sz="8" w:space="0" w:color="45A7E1"/>
            </w:tcBorders>
            <w:shd w:val="clear" w:color="000000" w:fill="DBE4ED"/>
            <w:vAlign w:val="center"/>
            <w:hideMark/>
          </w:tcPr>
          <w:p w14:paraId="17E81F9B" w14:textId="77777777" w:rsidR="00D342DF" w:rsidRPr="003506E5" w:rsidRDefault="00D342DF" w:rsidP="00D342DF">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2883</w:t>
            </w:r>
          </w:p>
        </w:tc>
        <w:tc>
          <w:tcPr>
            <w:tcW w:w="1436" w:type="dxa"/>
            <w:tcBorders>
              <w:top w:val="nil"/>
              <w:left w:val="nil"/>
              <w:bottom w:val="single" w:sz="8" w:space="0" w:color="45A7E1"/>
              <w:right w:val="single" w:sz="8" w:space="0" w:color="45A7E1"/>
            </w:tcBorders>
            <w:shd w:val="clear" w:color="000000" w:fill="DBE4ED"/>
            <w:vAlign w:val="center"/>
            <w:hideMark/>
          </w:tcPr>
          <w:p w14:paraId="3F1145C4" w14:textId="02764C78" w:rsidR="00D342DF" w:rsidRPr="003506E5" w:rsidRDefault="00EF731C" w:rsidP="00D342DF">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7.6%</w:t>
            </w:r>
          </w:p>
        </w:tc>
      </w:tr>
      <w:tr w:rsidR="00D342DF" w:rsidRPr="003506E5" w14:paraId="030C575E" w14:textId="77777777" w:rsidTr="00D342DF">
        <w:trPr>
          <w:trHeight w:val="278"/>
        </w:trPr>
        <w:tc>
          <w:tcPr>
            <w:tcW w:w="2901" w:type="dxa"/>
            <w:tcBorders>
              <w:top w:val="nil"/>
              <w:left w:val="single" w:sz="8" w:space="0" w:color="45A7E1"/>
              <w:bottom w:val="single" w:sz="8" w:space="0" w:color="45A7E1"/>
              <w:right w:val="single" w:sz="8" w:space="0" w:color="45A7E1"/>
            </w:tcBorders>
            <w:shd w:val="clear" w:color="000000" w:fill="DBE4ED"/>
            <w:noWrap/>
            <w:vAlign w:val="center"/>
            <w:hideMark/>
          </w:tcPr>
          <w:p w14:paraId="7B531113" w14:textId="77777777" w:rsidR="00D342DF" w:rsidRPr="003506E5" w:rsidRDefault="00D342DF" w:rsidP="00D342DF">
            <w:pPr>
              <w:spacing w:after="0" w:line="240" w:lineRule="auto"/>
              <w:rPr>
                <w:rFonts w:eastAsia="Times New Roman"/>
                <w:b/>
                <w:bCs/>
                <w:color w:val="0B1F51"/>
                <w:sz w:val="20"/>
                <w:szCs w:val="20"/>
                <w:lang w:eastAsia="en-US"/>
              </w:rPr>
            </w:pPr>
            <w:r w:rsidRPr="003506E5">
              <w:rPr>
                <w:rFonts w:eastAsia="Times New Roman"/>
                <w:b/>
                <w:bCs/>
                <w:color w:val="0B1F51"/>
                <w:sz w:val="20"/>
                <w:szCs w:val="20"/>
                <w:lang w:eastAsia="en-US"/>
              </w:rPr>
              <w:t>5 to 14 yrs.</w:t>
            </w:r>
          </w:p>
        </w:tc>
        <w:tc>
          <w:tcPr>
            <w:tcW w:w="1944" w:type="dxa"/>
            <w:tcBorders>
              <w:top w:val="nil"/>
              <w:left w:val="nil"/>
              <w:bottom w:val="single" w:sz="8" w:space="0" w:color="45A7E1"/>
              <w:right w:val="single" w:sz="8" w:space="0" w:color="45A7E1"/>
            </w:tcBorders>
            <w:shd w:val="clear" w:color="000000" w:fill="DBE4ED"/>
            <w:noWrap/>
            <w:vAlign w:val="center"/>
            <w:hideMark/>
          </w:tcPr>
          <w:p w14:paraId="3CC2F04D" w14:textId="77777777" w:rsidR="00D342DF" w:rsidRPr="003506E5" w:rsidRDefault="00D342DF" w:rsidP="00D342DF">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3211</w:t>
            </w:r>
          </w:p>
        </w:tc>
        <w:tc>
          <w:tcPr>
            <w:tcW w:w="1436" w:type="dxa"/>
            <w:tcBorders>
              <w:top w:val="nil"/>
              <w:left w:val="nil"/>
              <w:bottom w:val="single" w:sz="8" w:space="0" w:color="45A7E1"/>
              <w:right w:val="single" w:sz="8" w:space="0" w:color="45A7E1"/>
            </w:tcBorders>
            <w:shd w:val="clear" w:color="000000" w:fill="DBE4ED"/>
            <w:noWrap/>
            <w:vAlign w:val="center"/>
            <w:hideMark/>
          </w:tcPr>
          <w:p w14:paraId="1D89911E" w14:textId="77777777" w:rsidR="00D342DF" w:rsidRPr="003506E5" w:rsidRDefault="00D342DF" w:rsidP="00D342DF">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3174</w:t>
            </w:r>
          </w:p>
        </w:tc>
        <w:tc>
          <w:tcPr>
            <w:tcW w:w="1436" w:type="dxa"/>
            <w:tcBorders>
              <w:top w:val="nil"/>
              <w:left w:val="nil"/>
              <w:bottom w:val="single" w:sz="8" w:space="0" w:color="45A7E1"/>
              <w:right w:val="single" w:sz="8" w:space="0" w:color="45A7E1"/>
            </w:tcBorders>
            <w:shd w:val="clear" w:color="000000" w:fill="DBE4ED"/>
            <w:vAlign w:val="center"/>
            <w:hideMark/>
          </w:tcPr>
          <w:p w14:paraId="4190E8E4" w14:textId="77777777" w:rsidR="00D342DF" w:rsidRPr="003506E5" w:rsidRDefault="00D342DF" w:rsidP="00D342DF">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6385</w:t>
            </w:r>
          </w:p>
        </w:tc>
        <w:tc>
          <w:tcPr>
            <w:tcW w:w="1436" w:type="dxa"/>
            <w:tcBorders>
              <w:top w:val="nil"/>
              <w:left w:val="nil"/>
              <w:bottom w:val="single" w:sz="8" w:space="0" w:color="45A7E1"/>
              <w:right w:val="single" w:sz="8" w:space="0" w:color="45A7E1"/>
            </w:tcBorders>
            <w:shd w:val="clear" w:color="000000" w:fill="DBE4ED"/>
            <w:vAlign w:val="center"/>
            <w:hideMark/>
          </w:tcPr>
          <w:p w14:paraId="6F43471F" w14:textId="25006FA1" w:rsidR="00D342DF" w:rsidRPr="003506E5" w:rsidRDefault="00EF731C" w:rsidP="00D342DF">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16.9%</w:t>
            </w:r>
          </w:p>
        </w:tc>
      </w:tr>
      <w:tr w:rsidR="00D342DF" w:rsidRPr="003506E5" w14:paraId="3FD67CA4" w14:textId="77777777" w:rsidTr="00D342DF">
        <w:trPr>
          <w:trHeight w:val="278"/>
        </w:trPr>
        <w:tc>
          <w:tcPr>
            <w:tcW w:w="2901" w:type="dxa"/>
            <w:tcBorders>
              <w:top w:val="nil"/>
              <w:left w:val="single" w:sz="8" w:space="0" w:color="45A7E1"/>
              <w:bottom w:val="single" w:sz="8" w:space="0" w:color="45A7E1"/>
              <w:right w:val="single" w:sz="8" w:space="0" w:color="45A7E1"/>
            </w:tcBorders>
            <w:shd w:val="clear" w:color="000000" w:fill="DBE4ED"/>
            <w:vAlign w:val="center"/>
            <w:hideMark/>
          </w:tcPr>
          <w:p w14:paraId="0B80623B" w14:textId="77777777" w:rsidR="00D342DF" w:rsidRPr="003506E5" w:rsidRDefault="00D342DF" w:rsidP="00D342DF">
            <w:pPr>
              <w:spacing w:after="0" w:line="240" w:lineRule="auto"/>
              <w:rPr>
                <w:rFonts w:eastAsia="Times New Roman"/>
                <w:b/>
                <w:bCs/>
                <w:color w:val="0B1F51"/>
                <w:sz w:val="20"/>
                <w:szCs w:val="20"/>
                <w:lang w:eastAsia="en-US"/>
              </w:rPr>
            </w:pPr>
            <w:r w:rsidRPr="003506E5">
              <w:rPr>
                <w:rFonts w:eastAsia="Times New Roman"/>
                <w:b/>
                <w:bCs/>
                <w:color w:val="0B1F51"/>
                <w:sz w:val="20"/>
                <w:szCs w:val="20"/>
                <w:lang w:eastAsia="en-US"/>
              </w:rPr>
              <w:t>15 to 49 yrs.</w:t>
            </w:r>
          </w:p>
        </w:tc>
        <w:tc>
          <w:tcPr>
            <w:tcW w:w="1944" w:type="dxa"/>
            <w:tcBorders>
              <w:top w:val="nil"/>
              <w:left w:val="nil"/>
              <w:bottom w:val="single" w:sz="8" w:space="0" w:color="45A7E1"/>
              <w:right w:val="single" w:sz="8" w:space="0" w:color="45A7E1"/>
            </w:tcBorders>
            <w:shd w:val="clear" w:color="000000" w:fill="DBE4ED"/>
            <w:noWrap/>
            <w:vAlign w:val="center"/>
            <w:hideMark/>
          </w:tcPr>
          <w:p w14:paraId="574523F0" w14:textId="77777777" w:rsidR="00D342DF" w:rsidRPr="003506E5" w:rsidRDefault="00D342DF" w:rsidP="00D342DF">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8203</w:t>
            </w:r>
          </w:p>
        </w:tc>
        <w:tc>
          <w:tcPr>
            <w:tcW w:w="1436" w:type="dxa"/>
            <w:tcBorders>
              <w:top w:val="nil"/>
              <w:left w:val="nil"/>
              <w:bottom w:val="single" w:sz="8" w:space="0" w:color="45A7E1"/>
              <w:right w:val="single" w:sz="8" w:space="0" w:color="45A7E1"/>
            </w:tcBorders>
            <w:shd w:val="clear" w:color="000000" w:fill="DBE4ED"/>
            <w:noWrap/>
            <w:vAlign w:val="center"/>
            <w:hideMark/>
          </w:tcPr>
          <w:p w14:paraId="128088FF" w14:textId="77777777" w:rsidR="00D342DF" w:rsidRPr="003506E5" w:rsidRDefault="00D342DF" w:rsidP="00D342DF">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8498</w:t>
            </w:r>
          </w:p>
        </w:tc>
        <w:tc>
          <w:tcPr>
            <w:tcW w:w="1436" w:type="dxa"/>
            <w:tcBorders>
              <w:top w:val="nil"/>
              <w:left w:val="nil"/>
              <w:bottom w:val="single" w:sz="8" w:space="0" w:color="45A7E1"/>
              <w:right w:val="single" w:sz="8" w:space="0" w:color="45A7E1"/>
            </w:tcBorders>
            <w:shd w:val="clear" w:color="000000" w:fill="DBE4ED"/>
            <w:vAlign w:val="center"/>
            <w:hideMark/>
          </w:tcPr>
          <w:p w14:paraId="68144885" w14:textId="77777777" w:rsidR="00D342DF" w:rsidRPr="003506E5" w:rsidRDefault="00D342DF" w:rsidP="00D342DF">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16701</w:t>
            </w:r>
          </w:p>
        </w:tc>
        <w:tc>
          <w:tcPr>
            <w:tcW w:w="1436" w:type="dxa"/>
            <w:tcBorders>
              <w:top w:val="nil"/>
              <w:left w:val="nil"/>
              <w:bottom w:val="single" w:sz="8" w:space="0" w:color="45A7E1"/>
              <w:right w:val="single" w:sz="8" w:space="0" w:color="45A7E1"/>
            </w:tcBorders>
            <w:shd w:val="clear" w:color="000000" w:fill="DBE4ED"/>
            <w:vAlign w:val="center"/>
            <w:hideMark/>
          </w:tcPr>
          <w:p w14:paraId="6D2F04C2" w14:textId="01FE51F6" w:rsidR="00D342DF" w:rsidRPr="003506E5" w:rsidRDefault="00EF731C" w:rsidP="00D342DF">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44.2%</w:t>
            </w:r>
          </w:p>
        </w:tc>
      </w:tr>
      <w:tr w:rsidR="00D342DF" w:rsidRPr="003506E5" w14:paraId="1F69A757" w14:textId="77777777" w:rsidTr="00D342DF">
        <w:trPr>
          <w:trHeight w:val="278"/>
        </w:trPr>
        <w:tc>
          <w:tcPr>
            <w:tcW w:w="2901" w:type="dxa"/>
            <w:tcBorders>
              <w:top w:val="nil"/>
              <w:left w:val="single" w:sz="8" w:space="0" w:color="45A7E1"/>
              <w:bottom w:val="single" w:sz="8" w:space="0" w:color="45A7E1"/>
              <w:right w:val="single" w:sz="8" w:space="0" w:color="45A7E1"/>
            </w:tcBorders>
            <w:shd w:val="clear" w:color="000000" w:fill="DBE4ED"/>
            <w:noWrap/>
            <w:vAlign w:val="center"/>
            <w:hideMark/>
          </w:tcPr>
          <w:p w14:paraId="2278644A" w14:textId="77777777" w:rsidR="00D342DF" w:rsidRPr="003506E5" w:rsidRDefault="00D342DF" w:rsidP="00D342DF">
            <w:pPr>
              <w:spacing w:after="0" w:line="240" w:lineRule="auto"/>
              <w:rPr>
                <w:rFonts w:eastAsia="Times New Roman"/>
                <w:b/>
                <w:bCs/>
                <w:color w:val="0B1F51"/>
                <w:sz w:val="20"/>
                <w:szCs w:val="20"/>
                <w:lang w:eastAsia="en-US"/>
              </w:rPr>
            </w:pPr>
            <w:r w:rsidRPr="003506E5">
              <w:rPr>
                <w:rFonts w:eastAsia="Times New Roman"/>
                <w:b/>
                <w:bCs/>
                <w:color w:val="0B1F51"/>
                <w:sz w:val="20"/>
                <w:szCs w:val="20"/>
                <w:lang w:eastAsia="en-US"/>
              </w:rPr>
              <w:t>50 to 69 yrs.</w:t>
            </w:r>
          </w:p>
        </w:tc>
        <w:tc>
          <w:tcPr>
            <w:tcW w:w="1944" w:type="dxa"/>
            <w:tcBorders>
              <w:top w:val="nil"/>
              <w:left w:val="nil"/>
              <w:bottom w:val="single" w:sz="8" w:space="0" w:color="45A7E1"/>
              <w:right w:val="single" w:sz="8" w:space="0" w:color="45A7E1"/>
            </w:tcBorders>
            <w:shd w:val="clear" w:color="000000" w:fill="DBE4ED"/>
            <w:vAlign w:val="center"/>
            <w:hideMark/>
          </w:tcPr>
          <w:p w14:paraId="7FAC3402" w14:textId="77777777" w:rsidR="00D342DF" w:rsidRPr="003506E5" w:rsidRDefault="00D342DF" w:rsidP="00D342DF">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2712</w:t>
            </w:r>
          </w:p>
        </w:tc>
        <w:tc>
          <w:tcPr>
            <w:tcW w:w="1436" w:type="dxa"/>
            <w:tcBorders>
              <w:top w:val="nil"/>
              <w:left w:val="nil"/>
              <w:bottom w:val="single" w:sz="8" w:space="0" w:color="45A7E1"/>
              <w:right w:val="single" w:sz="8" w:space="0" w:color="45A7E1"/>
            </w:tcBorders>
            <w:shd w:val="clear" w:color="000000" w:fill="DBE4ED"/>
            <w:vAlign w:val="center"/>
            <w:hideMark/>
          </w:tcPr>
          <w:p w14:paraId="0C543BB9" w14:textId="77777777" w:rsidR="00D342DF" w:rsidRPr="003506E5" w:rsidRDefault="00D342DF" w:rsidP="00D342DF">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2729</w:t>
            </w:r>
          </w:p>
        </w:tc>
        <w:tc>
          <w:tcPr>
            <w:tcW w:w="1436" w:type="dxa"/>
            <w:tcBorders>
              <w:top w:val="nil"/>
              <w:left w:val="nil"/>
              <w:bottom w:val="single" w:sz="8" w:space="0" w:color="45A7E1"/>
              <w:right w:val="single" w:sz="8" w:space="0" w:color="45A7E1"/>
            </w:tcBorders>
            <w:shd w:val="clear" w:color="000000" w:fill="DBE4ED"/>
            <w:vAlign w:val="center"/>
            <w:hideMark/>
          </w:tcPr>
          <w:p w14:paraId="1683D996" w14:textId="77777777" w:rsidR="00D342DF" w:rsidRPr="003506E5" w:rsidRDefault="00D342DF" w:rsidP="00D342DF">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5441</w:t>
            </w:r>
          </w:p>
        </w:tc>
        <w:tc>
          <w:tcPr>
            <w:tcW w:w="1436" w:type="dxa"/>
            <w:tcBorders>
              <w:top w:val="nil"/>
              <w:left w:val="nil"/>
              <w:bottom w:val="single" w:sz="8" w:space="0" w:color="45A7E1"/>
              <w:right w:val="single" w:sz="8" w:space="0" w:color="45A7E1"/>
            </w:tcBorders>
            <w:shd w:val="clear" w:color="000000" w:fill="DBE4ED"/>
            <w:vAlign w:val="center"/>
            <w:hideMark/>
          </w:tcPr>
          <w:p w14:paraId="5B3F1DDE" w14:textId="1C51F664" w:rsidR="00D342DF" w:rsidRPr="003506E5" w:rsidRDefault="00EF731C" w:rsidP="00D342DF">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14.4%</w:t>
            </w:r>
          </w:p>
        </w:tc>
      </w:tr>
      <w:tr w:rsidR="00D342DF" w:rsidRPr="003506E5" w14:paraId="3F017325" w14:textId="77777777" w:rsidTr="00D342DF">
        <w:trPr>
          <w:trHeight w:val="278"/>
        </w:trPr>
        <w:tc>
          <w:tcPr>
            <w:tcW w:w="2901" w:type="dxa"/>
            <w:tcBorders>
              <w:top w:val="nil"/>
              <w:left w:val="single" w:sz="8" w:space="0" w:color="45A7E1"/>
              <w:bottom w:val="single" w:sz="8" w:space="0" w:color="45A7E1"/>
              <w:right w:val="single" w:sz="8" w:space="0" w:color="45A7E1"/>
            </w:tcBorders>
            <w:shd w:val="clear" w:color="000000" w:fill="DBE4ED"/>
            <w:noWrap/>
            <w:vAlign w:val="center"/>
            <w:hideMark/>
          </w:tcPr>
          <w:p w14:paraId="33457857" w14:textId="77777777" w:rsidR="00D342DF" w:rsidRPr="003506E5" w:rsidRDefault="00D342DF" w:rsidP="00D342DF">
            <w:pPr>
              <w:spacing w:after="0" w:line="240" w:lineRule="auto"/>
              <w:rPr>
                <w:rFonts w:eastAsia="Times New Roman"/>
                <w:b/>
                <w:bCs/>
                <w:color w:val="0B1F51"/>
                <w:sz w:val="20"/>
                <w:szCs w:val="20"/>
                <w:lang w:eastAsia="en-US"/>
              </w:rPr>
            </w:pPr>
            <w:r w:rsidRPr="003506E5">
              <w:rPr>
                <w:rFonts w:eastAsia="Times New Roman"/>
                <w:b/>
                <w:bCs/>
                <w:color w:val="0B1F51"/>
                <w:sz w:val="20"/>
                <w:szCs w:val="20"/>
                <w:lang w:eastAsia="en-US"/>
              </w:rPr>
              <w:t xml:space="preserve">70 yrs.&amp; above </w:t>
            </w:r>
          </w:p>
        </w:tc>
        <w:tc>
          <w:tcPr>
            <w:tcW w:w="1944" w:type="dxa"/>
            <w:tcBorders>
              <w:top w:val="nil"/>
              <w:left w:val="nil"/>
              <w:bottom w:val="single" w:sz="8" w:space="0" w:color="45A7E1"/>
              <w:right w:val="single" w:sz="8" w:space="0" w:color="45A7E1"/>
            </w:tcBorders>
            <w:shd w:val="clear" w:color="000000" w:fill="DBE4ED"/>
            <w:vAlign w:val="center"/>
            <w:hideMark/>
          </w:tcPr>
          <w:p w14:paraId="0B26833E" w14:textId="77777777" w:rsidR="00D342DF" w:rsidRPr="003506E5" w:rsidRDefault="00D342DF" w:rsidP="00D342DF">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2604</w:t>
            </w:r>
          </w:p>
        </w:tc>
        <w:tc>
          <w:tcPr>
            <w:tcW w:w="1436" w:type="dxa"/>
            <w:tcBorders>
              <w:top w:val="nil"/>
              <w:left w:val="nil"/>
              <w:bottom w:val="single" w:sz="8" w:space="0" w:color="45A7E1"/>
              <w:right w:val="single" w:sz="8" w:space="0" w:color="45A7E1"/>
            </w:tcBorders>
            <w:shd w:val="clear" w:color="000000" w:fill="DBE4ED"/>
            <w:vAlign w:val="center"/>
            <w:hideMark/>
          </w:tcPr>
          <w:p w14:paraId="5F8588A2" w14:textId="77777777" w:rsidR="00D342DF" w:rsidRPr="003506E5" w:rsidRDefault="00D342DF" w:rsidP="00D342DF">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2526</w:t>
            </w:r>
          </w:p>
        </w:tc>
        <w:tc>
          <w:tcPr>
            <w:tcW w:w="1436" w:type="dxa"/>
            <w:tcBorders>
              <w:top w:val="nil"/>
              <w:left w:val="nil"/>
              <w:bottom w:val="single" w:sz="8" w:space="0" w:color="45A7E1"/>
              <w:right w:val="single" w:sz="8" w:space="0" w:color="45A7E1"/>
            </w:tcBorders>
            <w:shd w:val="clear" w:color="000000" w:fill="DBE4ED"/>
            <w:vAlign w:val="center"/>
            <w:hideMark/>
          </w:tcPr>
          <w:p w14:paraId="20D7A803" w14:textId="77777777" w:rsidR="00D342DF" w:rsidRPr="003506E5" w:rsidRDefault="00D342DF" w:rsidP="00D342DF">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5130</w:t>
            </w:r>
          </w:p>
        </w:tc>
        <w:tc>
          <w:tcPr>
            <w:tcW w:w="1436" w:type="dxa"/>
            <w:tcBorders>
              <w:top w:val="nil"/>
              <w:left w:val="nil"/>
              <w:bottom w:val="single" w:sz="8" w:space="0" w:color="45A7E1"/>
              <w:right w:val="single" w:sz="8" w:space="0" w:color="45A7E1"/>
            </w:tcBorders>
            <w:shd w:val="clear" w:color="000000" w:fill="DBE4ED"/>
            <w:vAlign w:val="center"/>
            <w:hideMark/>
          </w:tcPr>
          <w:p w14:paraId="0C5549EB" w14:textId="59337335" w:rsidR="00D342DF" w:rsidRPr="003506E5" w:rsidRDefault="00EF731C" w:rsidP="00D342DF">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13.6%</w:t>
            </w:r>
          </w:p>
        </w:tc>
      </w:tr>
      <w:tr w:rsidR="00D342DF" w:rsidRPr="003506E5" w14:paraId="2EDE8762" w14:textId="77777777" w:rsidTr="00D342DF">
        <w:trPr>
          <w:trHeight w:val="278"/>
        </w:trPr>
        <w:tc>
          <w:tcPr>
            <w:tcW w:w="2901" w:type="dxa"/>
            <w:tcBorders>
              <w:top w:val="nil"/>
              <w:left w:val="single" w:sz="8" w:space="0" w:color="45A7E1"/>
              <w:bottom w:val="single" w:sz="8" w:space="0" w:color="45A7E1"/>
              <w:right w:val="single" w:sz="8" w:space="0" w:color="45A7E1"/>
            </w:tcBorders>
            <w:shd w:val="clear" w:color="000000" w:fill="DBE4ED"/>
            <w:vAlign w:val="center"/>
            <w:hideMark/>
          </w:tcPr>
          <w:p w14:paraId="35AB23D1" w14:textId="77777777" w:rsidR="00D342DF" w:rsidRPr="003506E5" w:rsidRDefault="00D342DF" w:rsidP="00D342DF">
            <w:pPr>
              <w:spacing w:after="0" w:line="240" w:lineRule="auto"/>
              <w:rPr>
                <w:rFonts w:eastAsia="Times New Roman"/>
                <w:b/>
                <w:bCs/>
                <w:color w:val="0B1F51"/>
                <w:sz w:val="20"/>
                <w:szCs w:val="20"/>
                <w:lang w:eastAsia="en-US"/>
              </w:rPr>
            </w:pPr>
            <w:r w:rsidRPr="003506E5">
              <w:rPr>
                <w:rFonts w:eastAsia="Times New Roman"/>
                <w:b/>
                <w:bCs/>
                <w:color w:val="0B1F51"/>
                <w:sz w:val="20"/>
                <w:szCs w:val="20"/>
                <w:lang w:eastAsia="en-US"/>
              </w:rPr>
              <w:t>Total</w:t>
            </w:r>
          </w:p>
        </w:tc>
        <w:tc>
          <w:tcPr>
            <w:tcW w:w="1944" w:type="dxa"/>
            <w:tcBorders>
              <w:top w:val="nil"/>
              <w:left w:val="nil"/>
              <w:bottom w:val="single" w:sz="8" w:space="0" w:color="45A7E1"/>
              <w:right w:val="single" w:sz="8" w:space="0" w:color="45A7E1"/>
            </w:tcBorders>
            <w:shd w:val="clear" w:color="000000" w:fill="DBE4ED"/>
            <w:vAlign w:val="center"/>
            <w:hideMark/>
          </w:tcPr>
          <w:p w14:paraId="0189C672" w14:textId="77777777" w:rsidR="00D342DF" w:rsidRPr="003506E5" w:rsidRDefault="00D342DF" w:rsidP="00D342DF">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18782</w:t>
            </w:r>
          </w:p>
        </w:tc>
        <w:tc>
          <w:tcPr>
            <w:tcW w:w="1436" w:type="dxa"/>
            <w:tcBorders>
              <w:top w:val="nil"/>
              <w:left w:val="nil"/>
              <w:bottom w:val="single" w:sz="8" w:space="0" w:color="45A7E1"/>
              <w:right w:val="single" w:sz="8" w:space="0" w:color="45A7E1"/>
            </w:tcBorders>
            <w:shd w:val="clear" w:color="000000" w:fill="DBE4ED"/>
            <w:vAlign w:val="center"/>
            <w:hideMark/>
          </w:tcPr>
          <w:p w14:paraId="1D8EBBC3" w14:textId="77777777" w:rsidR="00D342DF" w:rsidRPr="003506E5" w:rsidRDefault="00D342DF" w:rsidP="00D342DF">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19026</w:t>
            </w:r>
          </w:p>
        </w:tc>
        <w:tc>
          <w:tcPr>
            <w:tcW w:w="1436" w:type="dxa"/>
            <w:tcBorders>
              <w:top w:val="nil"/>
              <w:left w:val="nil"/>
              <w:bottom w:val="single" w:sz="8" w:space="0" w:color="45A7E1"/>
              <w:right w:val="single" w:sz="8" w:space="0" w:color="45A7E1"/>
            </w:tcBorders>
            <w:shd w:val="clear" w:color="000000" w:fill="DBE4ED"/>
            <w:vAlign w:val="center"/>
            <w:hideMark/>
          </w:tcPr>
          <w:p w14:paraId="07C5F219" w14:textId="77777777" w:rsidR="00D342DF" w:rsidRPr="003506E5" w:rsidRDefault="00D342DF" w:rsidP="00D342DF">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37808</w:t>
            </w:r>
          </w:p>
        </w:tc>
        <w:tc>
          <w:tcPr>
            <w:tcW w:w="1436" w:type="dxa"/>
            <w:tcBorders>
              <w:top w:val="nil"/>
              <w:left w:val="nil"/>
              <w:bottom w:val="single" w:sz="8" w:space="0" w:color="45A7E1"/>
              <w:right w:val="single" w:sz="8" w:space="0" w:color="45A7E1"/>
            </w:tcBorders>
            <w:shd w:val="clear" w:color="000000" w:fill="DBE4ED"/>
            <w:vAlign w:val="center"/>
            <w:hideMark/>
          </w:tcPr>
          <w:p w14:paraId="4FE56849" w14:textId="77777777" w:rsidR="00D342DF" w:rsidRPr="003506E5" w:rsidRDefault="00D342DF" w:rsidP="00D342DF">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100% </w:t>
            </w:r>
          </w:p>
        </w:tc>
      </w:tr>
    </w:tbl>
    <w:p w14:paraId="1ADB48F0" w14:textId="24FD9C0B" w:rsidR="00D342DF" w:rsidRPr="003506E5" w:rsidRDefault="00D342DF" w:rsidP="005F5304">
      <w:pPr>
        <w:pStyle w:val="BodyText"/>
      </w:pPr>
    </w:p>
    <w:p w14:paraId="4112485D" w14:textId="72E5398E" w:rsidR="005D6955" w:rsidRPr="003506E5" w:rsidRDefault="005D6955" w:rsidP="00B474DC">
      <w:pPr>
        <w:pStyle w:val="BodyText"/>
      </w:pPr>
      <w:r w:rsidRPr="003506E5">
        <w:lastRenderedPageBreak/>
        <w:t xml:space="preserve">The above table shows </w:t>
      </w:r>
      <w:r w:rsidR="00357467" w:rsidRPr="003506E5">
        <w:t xml:space="preserve">that </w:t>
      </w:r>
      <w:r w:rsidRPr="003506E5">
        <w:t xml:space="preserve">among </w:t>
      </w:r>
      <w:r w:rsidR="00357467" w:rsidRPr="003506E5">
        <w:t xml:space="preserve">the </w:t>
      </w:r>
      <w:r w:rsidRPr="003506E5">
        <w:t>wider enrolled population, 50% are women beneficiaries, in these women 34% belongs to 5 to 14 years age group, and 45% belongs to age group which is 15 to 49 years. It is observed 15 to 49 years are counted as the largest age group who had been insured among total enrolled and under 5 children is 7.63% among total enrolled population.</w:t>
      </w:r>
    </w:p>
    <w:p w14:paraId="5C7CD1ED" w14:textId="6C375C53" w:rsidR="00357467" w:rsidRPr="003506E5" w:rsidRDefault="00357467" w:rsidP="00357467">
      <w:pPr>
        <w:pStyle w:val="BodyText"/>
      </w:pPr>
      <w:r w:rsidRPr="003506E5">
        <w:t>The most striking differences between the age-group composition of eligible and wider populations include:</w:t>
      </w:r>
    </w:p>
    <w:p w14:paraId="7F103CF1" w14:textId="21D1784D" w:rsidR="003D17E9" w:rsidRPr="003506E5" w:rsidRDefault="00357467" w:rsidP="00B474DC">
      <w:pPr>
        <w:pStyle w:val="BodyText"/>
        <w:numPr>
          <w:ilvl w:val="0"/>
          <w:numId w:val="33"/>
        </w:numPr>
      </w:pPr>
      <w:r w:rsidRPr="003506E5">
        <w:t xml:space="preserve">The proportion of children under the age of 5 years in </w:t>
      </w:r>
      <w:r w:rsidRPr="003506E5">
        <w:rPr>
          <w:i/>
          <w:iCs/>
        </w:rPr>
        <w:t>eligible population</w:t>
      </w:r>
      <w:r w:rsidRPr="003506E5">
        <w:t xml:space="preserve"> is 5.4% whereas </w:t>
      </w:r>
      <w:r w:rsidR="003D17E9" w:rsidRPr="003506E5">
        <w:t>in</w:t>
      </w:r>
      <w:r w:rsidRPr="003506E5">
        <w:t xml:space="preserve"> </w:t>
      </w:r>
      <w:r w:rsidRPr="003506E5">
        <w:rPr>
          <w:i/>
          <w:iCs/>
        </w:rPr>
        <w:t>wider population</w:t>
      </w:r>
      <w:r w:rsidRPr="003506E5">
        <w:t xml:space="preserve"> it is 11.0%</w:t>
      </w:r>
      <w:r w:rsidR="003D17E9" w:rsidRPr="003506E5">
        <w:t>, as per 1998 census the national figure for this age group is 14.8%.</w:t>
      </w:r>
    </w:p>
    <w:p w14:paraId="22DDC488" w14:textId="7947E21E" w:rsidR="00357467" w:rsidRPr="003506E5" w:rsidRDefault="00357467" w:rsidP="00805E88">
      <w:pPr>
        <w:pStyle w:val="BodyText"/>
        <w:numPr>
          <w:ilvl w:val="0"/>
          <w:numId w:val="33"/>
        </w:numPr>
      </w:pPr>
      <w:r w:rsidRPr="003506E5">
        <w:t xml:space="preserve"> </w:t>
      </w:r>
      <w:r w:rsidR="00B474DC" w:rsidRPr="003506E5">
        <w:t xml:space="preserve">The percentage of </w:t>
      </w:r>
      <w:r w:rsidR="00805E88" w:rsidRPr="003506E5">
        <w:t>beneficiaries</w:t>
      </w:r>
      <w:r w:rsidR="00B474DC" w:rsidRPr="003506E5">
        <w:t xml:space="preserve"> aged between 5 to 50 years </w:t>
      </w:r>
      <w:r w:rsidR="00805E88" w:rsidRPr="003506E5">
        <w:t xml:space="preserve">is 75.3% in </w:t>
      </w:r>
      <w:r w:rsidR="00805E88" w:rsidRPr="003506E5">
        <w:rPr>
          <w:i/>
          <w:iCs/>
        </w:rPr>
        <w:t>eligible population</w:t>
      </w:r>
      <w:r w:rsidR="00805E88" w:rsidRPr="003506E5">
        <w:t xml:space="preserve"> and 61.1% in the </w:t>
      </w:r>
      <w:r w:rsidR="00805E88" w:rsidRPr="003506E5">
        <w:rPr>
          <w:i/>
          <w:iCs/>
        </w:rPr>
        <w:t>wider population</w:t>
      </w:r>
      <w:r w:rsidR="00805E88" w:rsidRPr="003506E5">
        <w:t>.</w:t>
      </w:r>
    </w:p>
    <w:p w14:paraId="55BA9C8C" w14:textId="13584642" w:rsidR="00805E88" w:rsidRPr="003506E5" w:rsidRDefault="00805E88" w:rsidP="00805E88">
      <w:pPr>
        <w:pStyle w:val="BodyText"/>
        <w:numPr>
          <w:ilvl w:val="0"/>
          <w:numId w:val="33"/>
        </w:numPr>
      </w:pPr>
      <w:r w:rsidRPr="003506E5">
        <w:t xml:space="preserve">Beneficiaries aged 50 years or more are 19.3% in </w:t>
      </w:r>
      <w:r w:rsidRPr="003506E5">
        <w:rPr>
          <w:i/>
          <w:iCs/>
        </w:rPr>
        <w:t>eligible</w:t>
      </w:r>
      <w:r w:rsidRPr="003506E5">
        <w:t xml:space="preserve"> and 28.0% in </w:t>
      </w:r>
      <w:r w:rsidRPr="003506E5">
        <w:rPr>
          <w:i/>
          <w:iCs/>
        </w:rPr>
        <w:t>wider</w:t>
      </w:r>
      <w:r w:rsidRPr="003506E5">
        <w:t xml:space="preserve"> populations. </w:t>
      </w:r>
    </w:p>
    <w:p w14:paraId="5DD4F9B9" w14:textId="5FCFAC16" w:rsidR="002F2B5E" w:rsidRPr="003506E5" w:rsidRDefault="00805E88" w:rsidP="00805E88">
      <w:pPr>
        <w:pStyle w:val="BodyText"/>
      </w:pPr>
      <w:r w:rsidRPr="003506E5">
        <w:t>The</w:t>
      </w:r>
      <w:r w:rsidR="002F2B5E" w:rsidRPr="003506E5">
        <w:t xml:space="preserve"> possible explanation for lower proportion of enrolment of children </w:t>
      </w:r>
      <w:r w:rsidRPr="003506E5">
        <w:t xml:space="preserve">(less than 5 years of age) </w:t>
      </w:r>
      <w:r w:rsidR="002F2B5E" w:rsidRPr="003506E5">
        <w:t>is that most families do not have formal registration documents (Form B / Bay Form) from NADRA for their children. Such documentation is necessary to certify that the children are members of the household.</w:t>
      </w:r>
    </w:p>
    <w:p w14:paraId="4E7D165B" w14:textId="77777777" w:rsidR="002F2B5E" w:rsidRPr="003506E5" w:rsidRDefault="002F2B5E" w:rsidP="002F2B5E">
      <w:pPr>
        <w:pStyle w:val="BodyText"/>
      </w:pPr>
      <w:r w:rsidRPr="003506E5">
        <w:t>Another reason was that beneficiary households preferred to enrol grown-up people as they expected older members of the family to have need for hospitalisation.</w:t>
      </w:r>
    </w:p>
    <w:p w14:paraId="04B8AEE9" w14:textId="77777777" w:rsidR="005F5304" w:rsidRPr="003506E5" w:rsidRDefault="005F5304" w:rsidP="005F5304">
      <w:pPr>
        <w:rPr>
          <w:color w:val="002147"/>
          <w:kern w:val="32"/>
        </w:rPr>
      </w:pPr>
      <w:r w:rsidRPr="003506E5">
        <w:rPr>
          <w:color w:val="002147"/>
          <w:kern w:val="32"/>
        </w:rPr>
        <w:br w:type="page"/>
      </w:r>
    </w:p>
    <w:p w14:paraId="3C1AE2CF" w14:textId="77777777" w:rsidR="005F5304" w:rsidRPr="003506E5" w:rsidRDefault="005F5304" w:rsidP="005F5304">
      <w:pPr>
        <w:pStyle w:val="Heading1"/>
      </w:pPr>
      <w:bookmarkStart w:id="33" w:name="_Toc57215285"/>
      <w:r w:rsidRPr="003506E5">
        <w:lastRenderedPageBreak/>
        <w:t>Empanelment of Hospitals</w:t>
      </w:r>
      <w:r w:rsidR="002E3BC6" w:rsidRPr="003506E5">
        <w:t xml:space="preserve"> in GB</w:t>
      </w:r>
      <w:bookmarkEnd w:id="33"/>
    </w:p>
    <w:p w14:paraId="6E7BE195" w14:textId="7ACD9770" w:rsidR="005F5304" w:rsidRPr="003506E5" w:rsidRDefault="005F5304" w:rsidP="005F5304">
      <w:pPr>
        <w:pStyle w:val="BodyText"/>
        <w:rPr>
          <w:color w:val="002147"/>
        </w:rPr>
      </w:pPr>
      <w:r w:rsidRPr="003506E5">
        <w:t>AKDN consortium in collaboration with the Programme Implementation Unit (PIU) of DOH-GB has empanelled five secondary level hospitals in Gilgit Districts. A Memorandum of Understanding (MoU) was signed by Jubilee Life with each hospital after agreeing on the prices of services covered under the SHPI insurance scheme. These hospitals along with the total number of beds available include</w:t>
      </w:r>
      <w:r w:rsidR="00DE3320" w:rsidRPr="003506E5">
        <w:rPr>
          <w:color w:val="002147"/>
        </w:rPr>
        <w:t xml:space="preserve"> the following:</w:t>
      </w:r>
    </w:p>
    <w:p w14:paraId="218A0EC9" w14:textId="0F8FBA61" w:rsidR="002E3BC6" w:rsidRPr="003506E5" w:rsidRDefault="002E3BC6" w:rsidP="002E3BC6">
      <w:pPr>
        <w:pStyle w:val="Caption"/>
      </w:pPr>
      <w:bookmarkStart w:id="34" w:name="_Toc57215229"/>
      <w:r w:rsidRPr="003506E5">
        <w:t xml:space="preserve">Table </w:t>
      </w:r>
      <w:r w:rsidR="00B76041" w:rsidRPr="003506E5">
        <w:fldChar w:fldCharType="begin"/>
      </w:r>
      <w:r w:rsidRPr="003506E5">
        <w:instrText xml:space="preserve"> SEQ Table \* ARABIC </w:instrText>
      </w:r>
      <w:r w:rsidR="00B76041" w:rsidRPr="003506E5">
        <w:fldChar w:fldCharType="separate"/>
      </w:r>
      <w:r w:rsidR="00AE4FA0">
        <w:rPr>
          <w:noProof/>
        </w:rPr>
        <w:t>9</w:t>
      </w:r>
      <w:r w:rsidR="00B76041" w:rsidRPr="003506E5">
        <w:fldChar w:fldCharType="end"/>
      </w:r>
      <w:r w:rsidRPr="003506E5">
        <w:t>: Empanelled Hospitals in GB</w:t>
      </w:r>
      <w:bookmarkEnd w:id="34"/>
    </w:p>
    <w:tbl>
      <w:tblPr>
        <w:tblStyle w:val="OPMTable2019"/>
        <w:tblW w:w="4941" w:type="pct"/>
        <w:tblLook w:val="04E0" w:firstRow="1" w:lastRow="1" w:firstColumn="1" w:lastColumn="0" w:noHBand="0" w:noVBand="1"/>
      </w:tblPr>
      <w:tblGrid>
        <w:gridCol w:w="6927"/>
        <w:gridCol w:w="1981"/>
      </w:tblGrid>
      <w:tr w:rsidR="005F5304" w:rsidRPr="003506E5" w14:paraId="1E9CBD42" w14:textId="77777777" w:rsidTr="00AD20D9">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3888" w:type="pct"/>
          </w:tcPr>
          <w:p w14:paraId="48660006" w14:textId="77777777" w:rsidR="005F5304" w:rsidRPr="003506E5" w:rsidRDefault="005F5304" w:rsidP="00AD20D9">
            <w:pPr>
              <w:pStyle w:val="Tabletext"/>
              <w:rPr>
                <w:bCs/>
              </w:rPr>
            </w:pPr>
            <w:r w:rsidRPr="003506E5">
              <w:rPr>
                <w:bCs/>
              </w:rPr>
              <w:t>Empanelled Hospital</w:t>
            </w:r>
          </w:p>
        </w:tc>
        <w:tc>
          <w:tcPr>
            <w:tcW w:w="1112" w:type="pct"/>
          </w:tcPr>
          <w:p w14:paraId="0C1BB934" w14:textId="77777777" w:rsidR="005F5304" w:rsidRPr="003506E5" w:rsidRDefault="005F5304" w:rsidP="00AD20D9">
            <w:pPr>
              <w:pStyle w:val="Tabletext"/>
              <w:cnfStyle w:val="100000000000" w:firstRow="1" w:lastRow="0" w:firstColumn="0" w:lastColumn="0" w:oddVBand="0" w:evenVBand="0" w:oddHBand="0" w:evenHBand="0" w:firstRowFirstColumn="0" w:firstRowLastColumn="0" w:lastRowFirstColumn="0" w:lastRowLastColumn="0"/>
              <w:rPr>
                <w:rFonts w:cs="Times New Roman"/>
                <w:bCs/>
                <w:szCs w:val="20"/>
              </w:rPr>
            </w:pPr>
            <w:r w:rsidRPr="003506E5">
              <w:rPr>
                <w:bCs/>
              </w:rPr>
              <w:t>Number of Beds</w:t>
            </w:r>
          </w:p>
        </w:tc>
      </w:tr>
      <w:tr w:rsidR="005F5304" w:rsidRPr="003506E5" w14:paraId="4D318747" w14:textId="77777777" w:rsidTr="00AD20D9">
        <w:trPr>
          <w:trHeight w:val="307"/>
        </w:trPr>
        <w:tc>
          <w:tcPr>
            <w:cnfStyle w:val="001000000000" w:firstRow="0" w:lastRow="0" w:firstColumn="1" w:lastColumn="0" w:oddVBand="0" w:evenVBand="0" w:oddHBand="0" w:evenHBand="0" w:firstRowFirstColumn="0" w:firstRowLastColumn="0" w:lastRowFirstColumn="0" w:lastRowLastColumn="0"/>
            <w:tcW w:w="3888" w:type="pct"/>
          </w:tcPr>
          <w:p w14:paraId="7E155DBF" w14:textId="77777777" w:rsidR="005F5304" w:rsidRPr="003506E5" w:rsidRDefault="005F5304" w:rsidP="00AD20D9">
            <w:pPr>
              <w:pStyle w:val="Tabletext"/>
              <w:rPr>
                <w:b w:val="0"/>
                <w:bCs/>
                <w:color w:val="auto"/>
              </w:rPr>
            </w:pPr>
            <w:r w:rsidRPr="003506E5">
              <w:rPr>
                <w:b w:val="0"/>
                <w:bCs/>
                <w:color w:val="auto"/>
              </w:rPr>
              <w:t>District Headquarter Hospital Gilgit – Public Sector</w:t>
            </w:r>
          </w:p>
        </w:tc>
        <w:tc>
          <w:tcPr>
            <w:tcW w:w="1112" w:type="pct"/>
          </w:tcPr>
          <w:p w14:paraId="14BA6140"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pPr>
            <w:r w:rsidRPr="003506E5">
              <w:t>210</w:t>
            </w:r>
          </w:p>
        </w:tc>
      </w:tr>
      <w:tr w:rsidR="005F5304" w:rsidRPr="003506E5" w14:paraId="0CB25105" w14:textId="77777777" w:rsidTr="00AD20D9">
        <w:trPr>
          <w:trHeight w:val="307"/>
        </w:trPr>
        <w:tc>
          <w:tcPr>
            <w:cnfStyle w:val="001000000000" w:firstRow="0" w:lastRow="0" w:firstColumn="1" w:lastColumn="0" w:oddVBand="0" w:evenVBand="0" w:oddHBand="0" w:evenHBand="0" w:firstRowFirstColumn="0" w:firstRowLastColumn="0" w:lastRowFirstColumn="0" w:lastRowLastColumn="0"/>
            <w:tcW w:w="3888" w:type="pct"/>
          </w:tcPr>
          <w:p w14:paraId="001F7D06" w14:textId="77777777" w:rsidR="005F5304" w:rsidRPr="003506E5" w:rsidRDefault="005F5304" w:rsidP="00AD20D9">
            <w:pPr>
              <w:pStyle w:val="Tabletext"/>
              <w:rPr>
                <w:b w:val="0"/>
                <w:bCs/>
                <w:color w:val="auto"/>
              </w:rPr>
            </w:pPr>
            <w:r w:rsidRPr="003506E5">
              <w:rPr>
                <w:b w:val="0"/>
                <w:bCs/>
                <w:color w:val="auto"/>
              </w:rPr>
              <w:t>City Hospital, Kashrote, Gilgit – Public Sector</w:t>
            </w:r>
          </w:p>
        </w:tc>
        <w:tc>
          <w:tcPr>
            <w:tcW w:w="1112" w:type="pct"/>
          </w:tcPr>
          <w:p w14:paraId="530BF491"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pPr>
            <w:r w:rsidRPr="003506E5">
              <w:t>110</w:t>
            </w:r>
          </w:p>
        </w:tc>
      </w:tr>
      <w:tr w:rsidR="005F5304" w:rsidRPr="003506E5" w14:paraId="01E5537F" w14:textId="77777777" w:rsidTr="00AD20D9">
        <w:trPr>
          <w:trHeight w:val="307"/>
        </w:trPr>
        <w:tc>
          <w:tcPr>
            <w:cnfStyle w:val="001000000000" w:firstRow="0" w:lastRow="0" w:firstColumn="1" w:lastColumn="0" w:oddVBand="0" w:evenVBand="0" w:oddHBand="0" w:evenHBand="0" w:firstRowFirstColumn="0" w:firstRowLastColumn="0" w:lastRowFirstColumn="0" w:lastRowLastColumn="0"/>
            <w:tcW w:w="3888" w:type="pct"/>
          </w:tcPr>
          <w:p w14:paraId="2FDAF5B9" w14:textId="77777777" w:rsidR="005F5304" w:rsidRPr="003506E5" w:rsidRDefault="005F5304" w:rsidP="00AD20D9">
            <w:pPr>
              <w:pStyle w:val="Tabletext"/>
              <w:rPr>
                <w:b w:val="0"/>
                <w:bCs/>
                <w:color w:val="auto"/>
              </w:rPr>
            </w:pPr>
            <w:r w:rsidRPr="003506E5">
              <w:rPr>
                <w:b w:val="0"/>
                <w:bCs/>
                <w:color w:val="auto"/>
              </w:rPr>
              <w:t>Aga Khan Medical Centre, Gilgit – NGO – AKHSP</w:t>
            </w:r>
          </w:p>
        </w:tc>
        <w:tc>
          <w:tcPr>
            <w:tcW w:w="1112" w:type="pct"/>
          </w:tcPr>
          <w:p w14:paraId="7E1189ED"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pPr>
            <w:r w:rsidRPr="003506E5">
              <w:t>46</w:t>
            </w:r>
          </w:p>
        </w:tc>
      </w:tr>
      <w:tr w:rsidR="005F5304" w:rsidRPr="003506E5" w14:paraId="3633EE93" w14:textId="77777777" w:rsidTr="00AD20D9">
        <w:trPr>
          <w:trHeight w:val="307"/>
        </w:trPr>
        <w:tc>
          <w:tcPr>
            <w:cnfStyle w:val="001000000000" w:firstRow="0" w:lastRow="0" w:firstColumn="1" w:lastColumn="0" w:oddVBand="0" w:evenVBand="0" w:oddHBand="0" w:evenHBand="0" w:firstRowFirstColumn="0" w:firstRowLastColumn="0" w:lastRowFirstColumn="0" w:lastRowLastColumn="0"/>
            <w:tcW w:w="3888" w:type="pct"/>
          </w:tcPr>
          <w:p w14:paraId="55C0CF21" w14:textId="77777777" w:rsidR="005F5304" w:rsidRPr="003506E5" w:rsidRDefault="005F5304" w:rsidP="00AD20D9">
            <w:pPr>
              <w:pStyle w:val="Tabletext"/>
              <w:rPr>
                <w:b w:val="0"/>
                <w:bCs/>
                <w:color w:val="auto"/>
              </w:rPr>
            </w:pPr>
            <w:r w:rsidRPr="003506E5">
              <w:rPr>
                <w:b w:val="0"/>
                <w:bCs/>
                <w:color w:val="auto"/>
              </w:rPr>
              <w:t>Family Hospital Gilgit – NGO – Family Planning Association of Pakistan</w:t>
            </w:r>
          </w:p>
        </w:tc>
        <w:tc>
          <w:tcPr>
            <w:tcW w:w="1112" w:type="pct"/>
          </w:tcPr>
          <w:p w14:paraId="60D71455"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pPr>
            <w:r w:rsidRPr="003506E5">
              <w:t>20</w:t>
            </w:r>
          </w:p>
        </w:tc>
      </w:tr>
      <w:tr w:rsidR="005F5304" w:rsidRPr="003506E5" w14:paraId="37B746EE" w14:textId="77777777" w:rsidTr="00AD20D9">
        <w:trPr>
          <w:trHeight w:val="165"/>
        </w:trPr>
        <w:tc>
          <w:tcPr>
            <w:cnfStyle w:val="001000000000" w:firstRow="0" w:lastRow="0" w:firstColumn="1" w:lastColumn="0" w:oddVBand="0" w:evenVBand="0" w:oddHBand="0" w:evenHBand="0" w:firstRowFirstColumn="0" w:firstRowLastColumn="0" w:lastRowFirstColumn="0" w:lastRowLastColumn="0"/>
            <w:tcW w:w="3888" w:type="pct"/>
          </w:tcPr>
          <w:p w14:paraId="01545440" w14:textId="77777777" w:rsidR="005F5304" w:rsidRPr="003506E5" w:rsidRDefault="005F5304" w:rsidP="00AD20D9">
            <w:pPr>
              <w:pStyle w:val="Tabletext"/>
              <w:rPr>
                <w:b w:val="0"/>
                <w:bCs/>
                <w:color w:val="auto"/>
              </w:rPr>
            </w:pPr>
            <w:r w:rsidRPr="003506E5">
              <w:rPr>
                <w:b w:val="0"/>
                <w:bCs/>
                <w:color w:val="auto"/>
              </w:rPr>
              <w:t>Sehat Foundation Hospital Daniyore, NGO – Sehat Foundation</w:t>
            </w:r>
          </w:p>
        </w:tc>
        <w:tc>
          <w:tcPr>
            <w:tcW w:w="1112" w:type="pct"/>
          </w:tcPr>
          <w:p w14:paraId="1B30BC5F"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pPr>
            <w:r w:rsidRPr="003506E5">
              <w:t>30</w:t>
            </w:r>
          </w:p>
        </w:tc>
      </w:tr>
      <w:tr w:rsidR="005F5304" w:rsidRPr="003506E5" w14:paraId="61E2DB6D" w14:textId="77777777" w:rsidTr="00AD20D9">
        <w:trPr>
          <w:cnfStyle w:val="010000000000" w:firstRow="0" w:lastRow="1"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3888" w:type="pct"/>
          </w:tcPr>
          <w:p w14:paraId="0D28E335" w14:textId="77777777" w:rsidR="005F5304" w:rsidRPr="003506E5" w:rsidRDefault="005F5304" w:rsidP="00AD20D9">
            <w:pPr>
              <w:pStyle w:val="Tabletext"/>
              <w:rPr>
                <w:b w:val="0"/>
                <w:bCs/>
              </w:rPr>
            </w:pPr>
            <w:r w:rsidRPr="003506E5">
              <w:t>Total available beds</w:t>
            </w:r>
          </w:p>
        </w:tc>
        <w:tc>
          <w:tcPr>
            <w:tcW w:w="1112" w:type="pct"/>
          </w:tcPr>
          <w:p w14:paraId="74A10FAA" w14:textId="77777777" w:rsidR="005F5304" w:rsidRPr="003506E5" w:rsidRDefault="005F5304" w:rsidP="00AD20D9">
            <w:pPr>
              <w:pStyle w:val="Tabletext"/>
              <w:jc w:val="center"/>
              <w:cnfStyle w:val="010000000000" w:firstRow="0" w:lastRow="1" w:firstColumn="0" w:lastColumn="0" w:oddVBand="0" w:evenVBand="0" w:oddHBand="0" w:evenHBand="0" w:firstRowFirstColumn="0" w:firstRowLastColumn="0" w:lastRowFirstColumn="0" w:lastRowLastColumn="0"/>
            </w:pPr>
            <w:r w:rsidRPr="003506E5">
              <w:t>416</w:t>
            </w:r>
          </w:p>
        </w:tc>
      </w:tr>
    </w:tbl>
    <w:p w14:paraId="5708C960" w14:textId="77777777" w:rsidR="005F5304" w:rsidRPr="003506E5" w:rsidRDefault="005F5304" w:rsidP="005F5304">
      <w:pPr>
        <w:pStyle w:val="ListNumber1"/>
        <w:numPr>
          <w:ilvl w:val="0"/>
          <w:numId w:val="0"/>
        </w:numPr>
        <w:ind w:left="357" w:hanging="357"/>
      </w:pPr>
    </w:p>
    <w:p w14:paraId="07224D7B" w14:textId="6FAD96C2" w:rsidR="005F5304" w:rsidRPr="003506E5" w:rsidRDefault="005F5304" w:rsidP="00BA032C">
      <w:pPr>
        <w:pStyle w:val="BodyText"/>
      </w:pPr>
      <w:r w:rsidRPr="003506E5">
        <w:t xml:space="preserve">Considering that the total insured population in Gilgit district is </w:t>
      </w:r>
      <w:r w:rsidR="002F2B5E" w:rsidRPr="003506E5">
        <w:t>73,475</w:t>
      </w:r>
      <w:r w:rsidRPr="003506E5">
        <w:t xml:space="preserve">, the average insured population per bed comes to </w:t>
      </w:r>
      <w:r w:rsidR="00BA032C" w:rsidRPr="003506E5">
        <w:t>177</w:t>
      </w:r>
      <w:r w:rsidRPr="003506E5">
        <w:t xml:space="preserve"> i.e. 5.</w:t>
      </w:r>
      <w:r w:rsidR="00BA032C" w:rsidRPr="003506E5">
        <w:t>6</w:t>
      </w:r>
      <w:r w:rsidRPr="003506E5">
        <w:t xml:space="preserve"> beds per 1</w:t>
      </w:r>
      <w:r w:rsidR="00DE3320" w:rsidRPr="003506E5">
        <w:t>,</w:t>
      </w:r>
      <w:r w:rsidRPr="003506E5">
        <w:t xml:space="preserve">000 insured population.   </w:t>
      </w:r>
    </w:p>
    <w:p w14:paraId="4A0326D9" w14:textId="77777777" w:rsidR="005F5304" w:rsidRPr="003506E5" w:rsidRDefault="005F5304" w:rsidP="005F5304">
      <w:pPr>
        <w:pStyle w:val="BodyText"/>
      </w:pPr>
      <w:r w:rsidRPr="003506E5">
        <w:t xml:space="preserve">All the empanelled hospitals are secondary level hospitals. Though the Combined Military Hospital (CMH) Gilgit has not been empanelled due to procedural issues, however, few patients avail services from there too on reimbursement basis. </w:t>
      </w:r>
    </w:p>
    <w:p w14:paraId="75F63163" w14:textId="77777777" w:rsidR="005F5304" w:rsidRPr="003506E5" w:rsidRDefault="005F5304" w:rsidP="005F5304">
      <w:pPr>
        <w:pStyle w:val="Heading1"/>
      </w:pPr>
      <w:bookmarkStart w:id="35" w:name="_Toc57215286"/>
      <w:r w:rsidRPr="003506E5">
        <w:lastRenderedPageBreak/>
        <w:t>Utilisation of Service</w:t>
      </w:r>
      <w:r w:rsidR="002E3BC6" w:rsidRPr="003506E5">
        <w:t>s in GB</w:t>
      </w:r>
      <w:bookmarkEnd w:id="35"/>
      <w:r w:rsidRPr="003506E5">
        <w:t xml:space="preserve"> </w:t>
      </w:r>
    </w:p>
    <w:p w14:paraId="00D1AC03" w14:textId="77777777" w:rsidR="005F5304" w:rsidRPr="003506E5" w:rsidRDefault="005F5304" w:rsidP="005F5304">
      <w:pPr>
        <w:pStyle w:val="Heading20"/>
      </w:pPr>
      <w:bookmarkStart w:id="36" w:name="_Toc57215287"/>
      <w:r w:rsidRPr="003506E5">
        <w:t>Admissions</w:t>
      </w:r>
      <w:bookmarkEnd w:id="36"/>
    </w:p>
    <w:p w14:paraId="25BCBBE2" w14:textId="3DF3F6AB" w:rsidR="0073298A" w:rsidRPr="003506E5" w:rsidRDefault="005F5304" w:rsidP="001C4B5B">
      <w:pPr>
        <w:pStyle w:val="BodyText"/>
        <w:spacing w:after="160"/>
        <w:jc w:val="left"/>
      </w:pPr>
      <w:r w:rsidRPr="003506E5">
        <w:t>During the reporting period (J</w:t>
      </w:r>
      <w:r w:rsidR="00645ABA" w:rsidRPr="003506E5">
        <w:t>ul</w:t>
      </w:r>
      <w:r w:rsidRPr="003506E5">
        <w:t xml:space="preserve"> to </w:t>
      </w:r>
      <w:r w:rsidR="00645ABA" w:rsidRPr="003506E5">
        <w:t>Dec</w:t>
      </w:r>
      <w:r w:rsidRPr="003506E5">
        <w:t xml:space="preserve"> 2020), 5</w:t>
      </w:r>
      <w:r w:rsidR="00243C80" w:rsidRPr="003506E5">
        <w:t>41</w:t>
      </w:r>
      <w:r w:rsidRPr="003506E5">
        <w:t xml:space="preserve"> admissions including 1</w:t>
      </w:r>
      <w:r w:rsidR="0073298A" w:rsidRPr="003506E5">
        <w:t>89</w:t>
      </w:r>
      <w:r w:rsidRPr="003506E5">
        <w:t xml:space="preserve"> (</w:t>
      </w:r>
      <w:r w:rsidR="0073298A" w:rsidRPr="003506E5">
        <w:t>35</w:t>
      </w:r>
      <w:r w:rsidRPr="003506E5">
        <w:t xml:space="preserve">%) from eligible and </w:t>
      </w:r>
      <w:r w:rsidR="0073298A" w:rsidRPr="003506E5">
        <w:t>352</w:t>
      </w:r>
      <w:r w:rsidRPr="003506E5">
        <w:t xml:space="preserve"> (</w:t>
      </w:r>
      <w:r w:rsidR="0073298A" w:rsidRPr="003506E5">
        <w:t>65</w:t>
      </w:r>
      <w:r w:rsidRPr="003506E5">
        <w:t>%) from wider population were reported in different public and private empanelled hospitals.</w:t>
      </w:r>
      <w:r w:rsidR="00C47885" w:rsidRPr="003506E5">
        <w:t xml:space="preserve"> Sixteen patients with Corona infection were admitted during this period from the insured beneficiaries – five</w:t>
      </w:r>
      <w:r w:rsidR="00930B1D" w:rsidRPr="003506E5">
        <w:t xml:space="preserve"> </w:t>
      </w:r>
      <w:r w:rsidR="00C47885" w:rsidRPr="003506E5">
        <w:t xml:space="preserve">patients from </w:t>
      </w:r>
      <w:r w:rsidR="00930B1D" w:rsidRPr="003506E5">
        <w:t xml:space="preserve">eligible and 11 </w:t>
      </w:r>
      <w:r w:rsidR="00C47885" w:rsidRPr="003506E5">
        <w:t xml:space="preserve">from </w:t>
      </w:r>
      <w:r w:rsidR="00930B1D" w:rsidRPr="003506E5">
        <w:t>wider population</w:t>
      </w:r>
      <w:r w:rsidRPr="003506E5">
        <w:t xml:space="preserve">. </w:t>
      </w:r>
    </w:p>
    <w:p w14:paraId="06C0AB1C" w14:textId="0BF353D1" w:rsidR="005F5304" w:rsidRPr="003506E5" w:rsidRDefault="005F5304" w:rsidP="001C4B5B">
      <w:pPr>
        <w:pStyle w:val="BodyText"/>
        <w:spacing w:after="160"/>
        <w:jc w:val="left"/>
      </w:pPr>
      <w:r w:rsidRPr="003506E5">
        <w:t xml:space="preserve">The overall utilisation during 2020 declined by </w:t>
      </w:r>
      <w:r w:rsidR="00C47885" w:rsidRPr="003506E5">
        <w:t>50</w:t>
      </w:r>
      <w:r w:rsidRPr="003506E5">
        <w:t>% compared to 2019</w:t>
      </w:r>
      <w:r w:rsidR="00A13935" w:rsidRPr="003506E5">
        <w:t xml:space="preserve">, there were </w:t>
      </w:r>
      <w:r w:rsidR="00A74389" w:rsidRPr="003506E5">
        <w:t xml:space="preserve">a total of </w:t>
      </w:r>
      <w:r w:rsidR="00A13935" w:rsidRPr="003506E5">
        <w:t>1113 admissions in 2020 compared to 2240 admissions in 2019. The decline in utilisatio</w:t>
      </w:r>
      <w:r w:rsidR="0055061C" w:rsidRPr="003506E5">
        <w:t xml:space="preserve">n is higher (57%) in wider population, 676 admissions in 2020 vs.1577 in 2019, </w:t>
      </w:r>
      <w:r w:rsidR="00A13935" w:rsidRPr="003506E5">
        <w:t>compared to eligible beneficiaries (34%)</w:t>
      </w:r>
      <w:r w:rsidR="0055061C" w:rsidRPr="003506E5">
        <w:t>, 437 admissions in 2020 vs. 663 in 2019</w:t>
      </w:r>
      <w:r w:rsidR="00A13935" w:rsidRPr="003506E5">
        <w:t xml:space="preserve">. </w:t>
      </w:r>
      <w:r w:rsidR="0055061C" w:rsidRPr="003506E5">
        <w:t>The</w:t>
      </w:r>
      <w:r w:rsidRPr="003506E5">
        <w:t xml:space="preserve"> decline </w:t>
      </w:r>
      <w:r w:rsidR="0055061C" w:rsidRPr="003506E5">
        <w:t xml:space="preserve">in admissions </w:t>
      </w:r>
      <w:r w:rsidRPr="003506E5">
        <w:t>is more marked during the 2</w:t>
      </w:r>
      <w:r w:rsidRPr="003506E5">
        <w:rPr>
          <w:vertAlign w:val="superscript"/>
        </w:rPr>
        <w:t>nd</w:t>
      </w:r>
      <w:r w:rsidRPr="003506E5">
        <w:t xml:space="preserve"> quarter (April to June 2020) when total admissions were only 180 compared to 392 admissions during first </w:t>
      </w:r>
      <w:r w:rsidR="00282992" w:rsidRPr="003506E5">
        <w:t xml:space="preserve">quarter, </w:t>
      </w:r>
      <w:r w:rsidR="0055061C" w:rsidRPr="003506E5">
        <w:t>267 in 3</w:t>
      </w:r>
      <w:r w:rsidR="0055061C" w:rsidRPr="003506E5">
        <w:rPr>
          <w:vertAlign w:val="superscript"/>
        </w:rPr>
        <w:t>rd</w:t>
      </w:r>
      <w:r w:rsidR="0055061C" w:rsidRPr="003506E5">
        <w:t xml:space="preserve"> quarter and 274 in 4</w:t>
      </w:r>
      <w:r w:rsidR="0055061C" w:rsidRPr="003506E5">
        <w:rPr>
          <w:vertAlign w:val="superscript"/>
        </w:rPr>
        <w:t>th</w:t>
      </w:r>
      <w:r w:rsidR="0055061C" w:rsidRPr="003506E5">
        <w:t xml:space="preserve"> quarter. </w:t>
      </w:r>
      <w:r w:rsidR="00A74389" w:rsidRPr="003506E5">
        <w:t xml:space="preserve">The marked drop in admissions especially in wider population can be attributed, in addition to decline in hospital visits by beneficiaries due to COVID-19, to the lower enrolment of wider population – 703 families purchased health insurance in 2020 compared to 1828 families enrolled in 2019. </w:t>
      </w:r>
      <w:r w:rsidRPr="003506E5">
        <w:t xml:space="preserve">More discussion on effects of the COVID-19 pandemic on utilisation of services is given in relevant sections below.  </w:t>
      </w:r>
    </w:p>
    <w:p w14:paraId="2871179B" w14:textId="52F761D2" w:rsidR="005F5304" w:rsidRPr="003506E5" w:rsidRDefault="005F5304" w:rsidP="001C4B5B">
      <w:pPr>
        <w:pStyle w:val="BodyText"/>
        <w:spacing w:after="160"/>
        <w:jc w:val="left"/>
      </w:pPr>
      <w:r w:rsidRPr="003506E5">
        <w:t>The utilisation of services</w:t>
      </w:r>
      <w:r w:rsidR="002A1706" w:rsidRPr="003506E5">
        <w:t>,</w:t>
      </w:r>
      <w:r w:rsidRPr="003506E5">
        <w:t xml:space="preserve"> during </w:t>
      </w:r>
      <w:r w:rsidR="00282992" w:rsidRPr="003506E5">
        <w:t>reporting period</w:t>
      </w:r>
      <w:r w:rsidR="002A1706" w:rsidRPr="003506E5">
        <w:t>,</w:t>
      </w:r>
      <w:r w:rsidRPr="003506E5">
        <w:t xml:space="preserve"> was </w:t>
      </w:r>
      <w:r w:rsidR="00A74389" w:rsidRPr="003506E5">
        <w:t xml:space="preserve">comparatively </w:t>
      </w:r>
      <w:r w:rsidRPr="003506E5">
        <w:t>higher in wider population than the eligible population</w:t>
      </w:r>
      <w:r w:rsidR="00A74389" w:rsidRPr="003506E5">
        <w:t>.</w:t>
      </w:r>
      <w:r w:rsidRPr="003506E5">
        <w:t xml:space="preserve"> Sixty </w:t>
      </w:r>
      <w:r w:rsidR="00282992" w:rsidRPr="003506E5">
        <w:t>six</w:t>
      </w:r>
      <w:r w:rsidRPr="003506E5">
        <w:t xml:space="preserve"> percent (3</w:t>
      </w:r>
      <w:r w:rsidR="00282992" w:rsidRPr="003506E5">
        <w:t>5</w:t>
      </w:r>
      <w:r w:rsidR="00052992" w:rsidRPr="003506E5">
        <w:t>5</w:t>
      </w:r>
      <w:r w:rsidRPr="003506E5">
        <w:t>) of admitted cases were of female patients. Among the admitted cases 5</w:t>
      </w:r>
      <w:r w:rsidR="00052992" w:rsidRPr="003506E5">
        <w:t>0</w:t>
      </w:r>
      <w:r w:rsidRPr="003506E5">
        <w:t>% (2</w:t>
      </w:r>
      <w:r w:rsidR="00052992" w:rsidRPr="003506E5">
        <w:t>69</w:t>
      </w:r>
      <w:r w:rsidRPr="003506E5">
        <w:t xml:space="preserve"> were reported to be non-surgical cases and </w:t>
      </w:r>
      <w:r w:rsidR="00052992" w:rsidRPr="003506E5">
        <w:t>50</w:t>
      </w:r>
      <w:r w:rsidRPr="003506E5">
        <w:t>% (2</w:t>
      </w:r>
      <w:r w:rsidR="00052992" w:rsidRPr="003506E5">
        <w:t>72</w:t>
      </w:r>
      <w:r w:rsidRPr="003506E5">
        <w:t xml:space="preserve">) surgical cases. </w:t>
      </w:r>
    </w:p>
    <w:p w14:paraId="224483EA" w14:textId="6B16BE25" w:rsidR="00A40DF0" w:rsidRPr="003506E5" w:rsidRDefault="005F5304" w:rsidP="001C4B5B">
      <w:pPr>
        <w:pStyle w:val="BodyText"/>
        <w:spacing w:after="160"/>
      </w:pPr>
      <w:r w:rsidRPr="003506E5">
        <w:t>The following table shows the major causes of non-surgical admissions.</w:t>
      </w:r>
    </w:p>
    <w:p w14:paraId="31794AF1" w14:textId="3E13EF76" w:rsidR="002A1706" w:rsidRPr="003506E5" w:rsidRDefault="002A1706" w:rsidP="00847948">
      <w:pPr>
        <w:pStyle w:val="Caption"/>
        <w:spacing w:line="240" w:lineRule="auto"/>
        <w:ind w:left="1138" w:hanging="1138"/>
        <w:contextualSpacing/>
      </w:pPr>
      <w:r w:rsidRPr="003506E5">
        <w:t xml:space="preserve">Table </w:t>
      </w:r>
      <w:r w:rsidRPr="003506E5">
        <w:fldChar w:fldCharType="begin"/>
      </w:r>
      <w:r w:rsidRPr="003506E5">
        <w:instrText xml:space="preserve"> SEQ Table \* ARABIC </w:instrText>
      </w:r>
      <w:r w:rsidRPr="003506E5">
        <w:fldChar w:fldCharType="separate"/>
      </w:r>
      <w:r w:rsidR="00AE4FA0">
        <w:rPr>
          <w:noProof/>
        </w:rPr>
        <w:t>10</w:t>
      </w:r>
      <w:r w:rsidRPr="003506E5">
        <w:fldChar w:fldCharType="end"/>
      </w:r>
      <w:r w:rsidRPr="003506E5">
        <w:t>: Non-surgical Admissions</w:t>
      </w:r>
    </w:p>
    <w:tbl>
      <w:tblPr>
        <w:tblW w:w="9810" w:type="dxa"/>
        <w:tblInd w:w="-370" w:type="dxa"/>
        <w:tblBorders>
          <w:top w:val="single" w:sz="8" w:space="0" w:color="45A7E1"/>
          <w:left w:val="single" w:sz="8" w:space="0" w:color="45A7E1"/>
          <w:bottom w:val="single" w:sz="8" w:space="0" w:color="45A7E1"/>
          <w:right w:val="single" w:sz="8" w:space="0" w:color="45A7E1"/>
          <w:insideH w:val="single" w:sz="8" w:space="0" w:color="45A7E1"/>
          <w:insideV w:val="single" w:sz="8" w:space="0" w:color="45A7E1"/>
        </w:tblBorders>
        <w:tblLook w:val="04A0" w:firstRow="1" w:lastRow="0" w:firstColumn="1" w:lastColumn="0" w:noHBand="0" w:noVBand="1"/>
      </w:tblPr>
      <w:tblGrid>
        <w:gridCol w:w="3780"/>
        <w:gridCol w:w="1260"/>
        <w:gridCol w:w="1260"/>
        <w:gridCol w:w="1260"/>
        <w:gridCol w:w="1170"/>
        <w:gridCol w:w="1080"/>
      </w:tblGrid>
      <w:tr w:rsidR="00B96F45" w:rsidRPr="001C4B5B" w14:paraId="15CDD76C" w14:textId="77777777" w:rsidTr="008D6B43">
        <w:trPr>
          <w:trHeight w:val="319"/>
        </w:trPr>
        <w:tc>
          <w:tcPr>
            <w:tcW w:w="3780" w:type="dxa"/>
            <w:vMerge w:val="restart"/>
            <w:shd w:val="clear" w:color="000000" w:fill="0B1F51"/>
            <w:vAlign w:val="center"/>
          </w:tcPr>
          <w:p w14:paraId="09323964" w14:textId="713CD696" w:rsidR="00B96F45" w:rsidRPr="001C4B5B" w:rsidRDefault="00933A5C" w:rsidP="00B96F45">
            <w:pPr>
              <w:spacing w:after="0" w:line="240" w:lineRule="auto"/>
              <w:rPr>
                <w:rFonts w:eastAsia="Times New Roman"/>
                <w:color w:val="FFFFFF"/>
                <w:sz w:val="20"/>
                <w:szCs w:val="20"/>
                <w:lang w:eastAsia="en-US"/>
              </w:rPr>
            </w:pPr>
            <w:r w:rsidRPr="001C4B5B">
              <w:rPr>
                <w:sz w:val="20"/>
                <w:szCs w:val="20"/>
              </w:rPr>
              <w:t>Non-surgical Diagnosis</w:t>
            </w:r>
          </w:p>
        </w:tc>
        <w:tc>
          <w:tcPr>
            <w:tcW w:w="2520" w:type="dxa"/>
            <w:gridSpan w:val="2"/>
            <w:shd w:val="clear" w:color="000000" w:fill="0B1F51"/>
            <w:noWrap/>
            <w:vAlign w:val="center"/>
          </w:tcPr>
          <w:p w14:paraId="66D05478" w14:textId="526BA97F" w:rsidR="00B96F45" w:rsidRPr="001C4B5B" w:rsidRDefault="00933A5C" w:rsidP="00B96F45">
            <w:pPr>
              <w:spacing w:after="0" w:line="240" w:lineRule="auto"/>
              <w:jc w:val="center"/>
              <w:rPr>
                <w:rFonts w:eastAsia="Times New Roman"/>
                <w:color w:val="FFFFFF"/>
                <w:sz w:val="20"/>
                <w:szCs w:val="20"/>
                <w:lang w:eastAsia="en-US"/>
              </w:rPr>
            </w:pPr>
            <w:r w:rsidRPr="001C4B5B">
              <w:rPr>
                <w:sz w:val="20"/>
                <w:szCs w:val="20"/>
              </w:rPr>
              <w:t>Public Hospitals</w:t>
            </w:r>
          </w:p>
        </w:tc>
        <w:tc>
          <w:tcPr>
            <w:tcW w:w="2430" w:type="dxa"/>
            <w:gridSpan w:val="2"/>
            <w:shd w:val="clear" w:color="000000" w:fill="0B1F51"/>
            <w:noWrap/>
            <w:vAlign w:val="center"/>
          </w:tcPr>
          <w:p w14:paraId="614560B3" w14:textId="4654457E" w:rsidR="00B96F45" w:rsidRPr="001C4B5B" w:rsidRDefault="00933A5C" w:rsidP="00B96F45">
            <w:pPr>
              <w:spacing w:after="0" w:line="240" w:lineRule="auto"/>
              <w:jc w:val="center"/>
              <w:rPr>
                <w:rFonts w:eastAsia="Times New Roman"/>
                <w:color w:val="FFFFFF"/>
                <w:sz w:val="20"/>
                <w:szCs w:val="20"/>
                <w:lang w:eastAsia="en-US"/>
              </w:rPr>
            </w:pPr>
            <w:r w:rsidRPr="001C4B5B">
              <w:rPr>
                <w:sz w:val="20"/>
                <w:szCs w:val="20"/>
              </w:rPr>
              <w:t>Private Hospitals</w:t>
            </w:r>
          </w:p>
        </w:tc>
        <w:tc>
          <w:tcPr>
            <w:tcW w:w="1080" w:type="dxa"/>
            <w:vMerge w:val="restart"/>
            <w:shd w:val="clear" w:color="000000" w:fill="0B1F51"/>
            <w:vAlign w:val="center"/>
          </w:tcPr>
          <w:p w14:paraId="3D9B9C74" w14:textId="47350A2F" w:rsidR="00B96F45" w:rsidRPr="001C4B5B" w:rsidRDefault="00933A5C" w:rsidP="00B96F45">
            <w:pPr>
              <w:spacing w:after="0" w:line="240" w:lineRule="auto"/>
              <w:jc w:val="center"/>
              <w:rPr>
                <w:rFonts w:eastAsia="Times New Roman"/>
                <w:color w:val="FFFFFF"/>
                <w:sz w:val="20"/>
                <w:szCs w:val="20"/>
                <w:lang w:eastAsia="en-US"/>
              </w:rPr>
            </w:pPr>
            <w:r w:rsidRPr="001C4B5B">
              <w:rPr>
                <w:rFonts w:eastAsia="Times New Roman"/>
                <w:color w:val="FFFFFF"/>
                <w:sz w:val="20"/>
                <w:szCs w:val="20"/>
                <w:lang w:eastAsia="en-US"/>
              </w:rPr>
              <w:t>Total</w:t>
            </w:r>
          </w:p>
        </w:tc>
      </w:tr>
      <w:tr w:rsidR="00933A5C" w:rsidRPr="001C4B5B" w14:paraId="126261FE" w14:textId="77777777" w:rsidTr="008D6B43">
        <w:trPr>
          <w:trHeight w:val="511"/>
        </w:trPr>
        <w:tc>
          <w:tcPr>
            <w:tcW w:w="3780" w:type="dxa"/>
            <w:vMerge/>
            <w:vAlign w:val="center"/>
          </w:tcPr>
          <w:p w14:paraId="14CE1670" w14:textId="77777777" w:rsidR="00933A5C" w:rsidRPr="001C4B5B" w:rsidRDefault="00933A5C" w:rsidP="00933A5C">
            <w:pPr>
              <w:spacing w:after="0" w:line="240" w:lineRule="auto"/>
              <w:rPr>
                <w:rFonts w:eastAsia="Times New Roman"/>
                <w:color w:val="FFFFFF"/>
                <w:sz w:val="20"/>
                <w:szCs w:val="20"/>
                <w:lang w:eastAsia="en-US"/>
              </w:rPr>
            </w:pPr>
          </w:p>
        </w:tc>
        <w:tc>
          <w:tcPr>
            <w:tcW w:w="1260" w:type="dxa"/>
            <w:shd w:val="clear" w:color="000000" w:fill="DBE4ED"/>
            <w:vAlign w:val="center"/>
          </w:tcPr>
          <w:p w14:paraId="413F961D" w14:textId="1E0330A7" w:rsidR="00933A5C" w:rsidRPr="001C4B5B" w:rsidRDefault="00933A5C" w:rsidP="00933A5C">
            <w:pPr>
              <w:spacing w:after="0" w:line="240" w:lineRule="auto"/>
              <w:jc w:val="center"/>
              <w:rPr>
                <w:rFonts w:eastAsia="Times New Roman"/>
                <w:color w:val="000000"/>
                <w:sz w:val="20"/>
                <w:szCs w:val="20"/>
                <w:lang w:eastAsia="en-US"/>
              </w:rPr>
            </w:pPr>
            <w:r w:rsidRPr="001C4B5B">
              <w:rPr>
                <w:sz w:val="20"/>
                <w:szCs w:val="20"/>
              </w:rPr>
              <w:t>Eligible Population</w:t>
            </w:r>
          </w:p>
        </w:tc>
        <w:tc>
          <w:tcPr>
            <w:tcW w:w="1260" w:type="dxa"/>
            <w:shd w:val="clear" w:color="000000" w:fill="DBE4ED"/>
            <w:vAlign w:val="center"/>
          </w:tcPr>
          <w:p w14:paraId="3F6E9EB1" w14:textId="3FA32DD9" w:rsidR="00933A5C" w:rsidRPr="001C4B5B" w:rsidRDefault="00933A5C" w:rsidP="00933A5C">
            <w:pPr>
              <w:spacing w:after="0" w:line="240" w:lineRule="auto"/>
              <w:jc w:val="center"/>
              <w:rPr>
                <w:rFonts w:eastAsia="Times New Roman"/>
                <w:color w:val="000000"/>
                <w:sz w:val="20"/>
                <w:szCs w:val="20"/>
                <w:lang w:eastAsia="en-US"/>
              </w:rPr>
            </w:pPr>
            <w:r w:rsidRPr="001C4B5B">
              <w:rPr>
                <w:sz w:val="20"/>
                <w:szCs w:val="20"/>
              </w:rPr>
              <w:t>Wider Population</w:t>
            </w:r>
          </w:p>
        </w:tc>
        <w:tc>
          <w:tcPr>
            <w:tcW w:w="1260" w:type="dxa"/>
            <w:shd w:val="clear" w:color="000000" w:fill="DBE4ED"/>
            <w:vAlign w:val="center"/>
          </w:tcPr>
          <w:p w14:paraId="11CAC312" w14:textId="4C77482E" w:rsidR="00933A5C" w:rsidRPr="001C4B5B" w:rsidRDefault="00933A5C" w:rsidP="00933A5C">
            <w:pPr>
              <w:spacing w:after="0" w:line="240" w:lineRule="auto"/>
              <w:jc w:val="center"/>
              <w:rPr>
                <w:rFonts w:eastAsia="Times New Roman"/>
                <w:color w:val="000000"/>
                <w:sz w:val="20"/>
                <w:szCs w:val="20"/>
                <w:lang w:eastAsia="en-US"/>
              </w:rPr>
            </w:pPr>
            <w:r w:rsidRPr="001C4B5B">
              <w:rPr>
                <w:sz w:val="20"/>
                <w:szCs w:val="20"/>
              </w:rPr>
              <w:t>Eligible Population</w:t>
            </w:r>
          </w:p>
        </w:tc>
        <w:tc>
          <w:tcPr>
            <w:tcW w:w="1170" w:type="dxa"/>
            <w:shd w:val="clear" w:color="000000" w:fill="DBE4ED"/>
            <w:vAlign w:val="center"/>
          </w:tcPr>
          <w:p w14:paraId="2AAA4A0E" w14:textId="1718F47D" w:rsidR="00933A5C" w:rsidRPr="001C4B5B" w:rsidRDefault="00933A5C" w:rsidP="00933A5C">
            <w:pPr>
              <w:spacing w:after="0" w:line="240" w:lineRule="auto"/>
              <w:jc w:val="center"/>
              <w:rPr>
                <w:rFonts w:eastAsia="Times New Roman"/>
                <w:color w:val="000000"/>
                <w:sz w:val="20"/>
                <w:szCs w:val="20"/>
                <w:lang w:eastAsia="en-US"/>
              </w:rPr>
            </w:pPr>
            <w:r w:rsidRPr="001C4B5B">
              <w:rPr>
                <w:sz w:val="20"/>
                <w:szCs w:val="20"/>
              </w:rPr>
              <w:t>Wider Population</w:t>
            </w:r>
          </w:p>
        </w:tc>
        <w:tc>
          <w:tcPr>
            <w:tcW w:w="1080" w:type="dxa"/>
            <w:vMerge/>
            <w:vAlign w:val="center"/>
          </w:tcPr>
          <w:p w14:paraId="61E7BD9F" w14:textId="77777777" w:rsidR="00933A5C" w:rsidRPr="001C4B5B" w:rsidRDefault="00933A5C" w:rsidP="00933A5C">
            <w:pPr>
              <w:spacing w:after="0" w:line="240" w:lineRule="auto"/>
              <w:rPr>
                <w:rFonts w:eastAsia="Times New Roman"/>
                <w:color w:val="FFFFFF"/>
                <w:sz w:val="20"/>
                <w:szCs w:val="20"/>
                <w:lang w:eastAsia="en-US"/>
              </w:rPr>
            </w:pPr>
          </w:p>
        </w:tc>
      </w:tr>
      <w:tr w:rsidR="00980C32" w:rsidRPr="001C4B5B" w14:paraId="3D097A5A" w14:textId="77777777" w:rsidTr="008D6B43">
        <w:trPr>
          <w:trHeight w:val="288"/>
        </w:trPr>
        <w:tc>
          <w:tcPr>
            <w:tcW w:w="3780" w:type="dxa"/>
            <w:shd w:val="clear" w:color="000000" w:fill="DBE4ED"/>
            <w:noWrap/>
            <w:vAlign w:val="bottom"/>
          </w:tcPr>
          <w:p w14:paraId="63560FF5" w14:textId="006FA2D1" w:rsidR="00980C32" w:rsidRPr="001C4B5B" w:rsidRDefault="00980C32" w:rsidP="00980C32">
            <w:pPr>
              <w:spacing w:after="0" w:line="240" w:lineRule="auto"/>
              <w:rPr>
                <w:rFonts w:asciiTheme="minorHAnsi" w:eastAsia="Times New Roman" w:hAnsiTheme="minorHAnsi" w:cstheme="minorHAnsi"/>
                <w:color w:val="000000"/>
                <w:sz w:val="20"/>
                <w:szCs w:val="20"/>
                <w:lang w:eastAsia="en-US"/>
              </w:rPr>
            </w:pPr>
            <w:r w:rsidRPr="001C4B5B">
              <w:rPr>
                <w:rFonts w:asciiTheme="minorHAnsi" w:hAnsiTheme="minorHAnsi" w:cstheme="minorHAnsi"/>
                <w:color w:val="000000"/>
                <w:sz w:val="20"/>
                <w:szCs w:val="20"/>
              </w:rPr>
              <w:t>Gastroenteritis</w:t>
            </w:r>
          </w:p>
        </w:tc>
        <w:tc>
          <w:tcPr>
            <w:tcW w:w="1260" w:type="dxa"/>
            <w:shd w:val="clear" w:color="000000" w:fill="DBE4ED"/>
            <w:noWrap/>
            <w:vAlign w:val="center"/>
          </w:tcPr>
          <w:p w14:paraId="77AF1D2A" w14:textId="0D402FEE" w:rsidR="00980C32" w:rsidRPr="001C4B5B" w:rsidRDefault="00980C32" w:rsidP="00980C32">
            <w:pPr>
              <w:spacing w:after="0" w:line="240" w:lineRule="auto"/>
              <w:jc w:val="center"/>
              <w:rPr>
                <w:rFonts w:asciiTheme="minorHAnsi" w:eastAsia="Times New Roman" w:hAnsiTheme="minorHAnsi" w:cstheme="minorHAnsi"/>
                <w:color w:val="000000"/>
                <w:sz w:val="20"/>
                <w:szCs w:val="20"/>
                <w:lang w:eastAsia="en-US"/>
              </w:rPr>
            </w:pPr>
            <w:r w:rsidRPr="001C4B5B">
              <w:rPr>
                <w:rFonts w:asciiTheme="minorHAnsi" w:hAnsiTheme="minorHAnsi" w:cstheme="minorHAnsi"/>
                <w:color w:val="000000"/>
                <w:sz w:val="20"/>
                <w:szCs w:val="20"/>
              </w:rPr>
              <w:t>4</w:t>
            </w:r>
          </w:p>
        </w:tc>
        <w:tc>
          <w:tcPr>
            <w:tcW w:w="1260" w:type="dxa"/>
            <w:shd w:val="clear" w:color="000000" w:fill="DBE4ED"/>
            <w:noWrap/>
            <w:vAlign w:val="center"/>
          </w:tcPr>
          <w:p w14:paraId="13FEDB6E" w14:textId="16756CE7" w:rsidR="00980C32" w:rsidRPr="001C4B5B" w:rsidRDefault="00980C32" w:rsidP="00980C32">
            <w:pPr>
              <w:spacing w:after="0" w:line="240" w:lineRule="auto"/>
              <w:jc w:val="center"/>
              <w:rPr>
                <w:rFonts w:asciiTheme="minorHAnsi" w:eastAsia="Times New Roman" w:hAnsiTheme="minorHAnsi" w:cstheme="minorHAnsi"/>
                <w:color w:val="000000"/>
                <w:sz w:val="20"/>
                <w:szCs w:val="20"/>
                <w:lang w:eastAsia="en-US"/>
              </w:rPr>
            </w:pPr>
            <w:r w:rsidRPr="001C4B5B">
              <w:rPr>
                <w:rFonts w:asciiTheme="minorHAnsi" w:hAnsiTheme="minorHAnsi" w:cstheme="minorHAnsi"/>
                <w:color w:val="000000"/>
                <w:sz w:val="20"/>
                <w:szCs w:val="20"/>
              </w:rPr>
              <w:t> 0</w:t>
            </w:r>
          </w:p>
        </w:tc>
        <w:tc>
          <w:tcPr>
            <w:tcW w:w="1260" w:type="dxa"/>
            <w:shd w:val="clear" w:color="000000" w:fill="DBE4ED"/>
            <w:noWrap/>
            <w:vAlign w:val="center"/>
          </w:tcPr>
          <w:p w14:paraId="3334D883" w14:textId="3440DF19" w:rsidR="00980C32" w:rsidRPr="001C4B5B" w:rsidRDefault="00980C32" w:rsidP="00980C32">
            <w:pPr>
              <w:spacing w:after="0" w:line="240" w:lineRule="auto"/>
              <w:jc w:val="center"/>
              <w:rPr>
                <w:rFonts w:asciiTheme="minorHAnsi" w:eastAsia="Times New Roman" w:hAnsiTheme="minorHAnsi" w:cstheme="minorHAnsi"/>
                <w:color w:val="000000"/>
                <w:sz w:val="20"/>
                <w:szCs w:val="20"/>
                <w:lang w:eastAsia="en-US"/>
              </w:rPr>
            </w:pPr>
            <w:r w:rsidRPr="001C4B5B">
              <w:rPr>
                <w:rFonts w:asciiTheme="minorHAnsi" w:hAnsiTheme="minorHAnsi" w:cstheme="minorHAnsi"/>
                <w:color w:val="000000"/>
                <w:sz w:val="20"/>
                <w:szCs w:val="20"/>
              </w:rPr>
              <w:t>1</w:t>
            </w:r>
          </w:p>
        </w:tc>
        <w:tc>
          <w:tcPr>
            <w:tcW w:w="1170" w:type="dxa"/>
            <w:shd w:val="clear" w:color="000000" w:fill="DBE4ED"/>
            <w:noWrap/>
            <w:vAlign w:val="center"/>
          </w:tcPr>
          <w:p w14:paraId="0D62F35B" w14:textId="722E6C68" w:rsidR="00980C32" w:rsidRPr="001C4B5B" w:rsidRDefault="00980C32" w:rsidP="00980C32">
            <w:pPr>
              <w:spacing w:after="0" w:line="240" w:lineRule="auto"/>
              <w:jc w:val="center"/>
              <w:rPr>
                <w:rFonts w:asciiTheme="minorHAnsi" w:eastAsia="Times New Roman" w:hAnsiTheme="minorHAnsi" w:cstheme="minorHAnsi"/>
                <w:color w:val="000000"/>
                <w:sz w:val="20"/>
                <w:szCs w:val="20"/>
                <w:lang w:eastAsia="en-US"/>
              </w:rPr>
            </w:pPr>
            <w:r w:rsidRPr="001C4B5B">
              <w:rPr>
                <w:rFonts w:asciiTheme="minorHAnsi" w:hAnsiTheme="minorHAnsi" w:cstheme="minorHAnsi"/>
                <w:color w:val="000000"/>
                <w:sz w:val="20"/>
                <w:szCs w:val="20"/>
              </w:rPr>
              <w:t>62</w:t>
            </w:r>
          </w:p>
        </w:tc>
        <w:tc>
          <w:tcPr>
            <w:tcW w:w="1080" w:type="dxa"/>
            <w:shd w:val="clear" w:color="000000" w:fill="DBE4ED"/>
            <w:noWrap/>
            <w:vAlign w:val="center"/>
          </w:tcPr>
          <w:p w14:paraId="281EB4C4" w14:textId="27D50423" w:rsidR="00980C32" w:rsidRPr="001C4B5B" w:rsidRDefault="00980C32" w:rsidP="00980C32">
            <w:pPr>
              <w:spacing w:after="0" w:line="240" w:lineRule="auto"/>
              <w:jc w:val="center"/>
              <w:rPr>
                <w:rFonts w:asciiTheme="minorHAnsi" w:eastAsia="Times New Roman" w:hAnsiTheme="minorHAnsi" w:cstheme="minorHAnsi"/>
                <w:color w:val="000000"/>
                <w:sz w:val="20"/>
                <w:szCs w:val="20"/>
                <w:lang w:eastAsia="en-US"/>
              </w:rPr>
            </w:pPr>
            <w:r w:rsidRPr="001C4B5B">
              <w:rPr>
                <w:rFonts w:asciiTheme="minorHAnsi" w:hAnsiTheme="minorHAnsi" w:cstheme="minorHAnsi"/>
                <w:color w:val="000000"/>
                <w:sz w:val="20"/>
                <w:szCs w:val="20"/>
              </w:rPr>
              <w:t>67</w:t>
            </w:r>
          </w:p>
        </w:tc>
      </w:tr>
      <w:tr w:rsidR="00980C32" w:rsidRPr="001C4B5B" w14:paraId="5A56B4E9" w14:textId="77777777" w:rsidTr="008D6B43">
        <w:trPr>
          <w:trHeight w:val="288"/>
        </w:trPr>
        <w:tc>
          <w:tcPr>
            <w:tcW w:w="3780" w:type="dxa"/>
            <w:shd w:val="clear" w:color="000000" w:fill="DBE4ED"/>
            <w:noWrap/>
            <w:vAlign w:val="bottom"/>
          </w:tcPr>
          <w:p w14:paraId="2FA79C8C" w14:textId="3D5807DF" w:rsidR="00980C32" w:rsidRPr="001C4B5B" w:rsidRDefault="00980C32" w:rsidP="00980C32">
            <w:pPr>
              <w:spacing w:after="0" w:line="240" w:lineRule="auto"/>
              <w:rPr>
                <w:rFonts w:asciiTheme="minorHAnsi" w:eastAsia="Times New Roman" w:hAnsiTheme="minorHAnsi" w:cstheme="minorHAnsi"/>
                <w:color w:val="000000"/>
                <w:sz w:val="20"/>
                <w:szCs w:val="20"/>
                <w:lang w:eastAsia="en-US"/>
              </w:rPr>
            </w:pPr>
            <w:r w:rsidRPr="001C4B5B">
              <w:rPr>
                <w:rFonts w:asciiTheme="minorHAnsi" w:hAnsiTheme="minorHAnsi" w:cstheme="minorHAnsi"/>
                <w:color w:val="000000"/>
                <w:sz w:val="20"/>
                <w:szCs w:val="20"/>
              </w:rPr>
              <w:t>Fever, unspecific</w:t>
            </w:r>
          </w:p>
        </w:tc>
        <w:tc>
          <w:tcPr>
            <w:tcW w:w="1260" w:type="dxa"/>
            <w:shd w:val="clear" w:color="000000" w:fill="DBE4ED"/>
            <w:noWrap/>
            <w:vAlign w:val="center"/>
          </w:tcPr>
          <w:p w14:paraId="4C2D7622" w14:textId="727B7D72" w:rsidR="00980C32" w:rsidRPr="001C4B5B" w:rsidRDefault="00980C32" w:rsidP="00980C32">
            <w:pPr>
              <w:spacing w:after="0" w:line="240" w:lineRule="auto"/>
              <w:jc w:val="center"/>
              <w:rPr>
                <w:rFonts w:asciiTheme="minorHAnsi" w:eastAsia="Times New Roman" w:hAnsiTheme="minorHAnsi" w:cstheme="minorHAnsi"/>
                <w:color w:val="000000"/>
                <w:sz w:val="20"/>
                <w:szCs w:val="20"/>
                <w:lang w:eastAsia="en-US"/>
              </w:rPr>
            </w:pPr>
            <w:r w:rsidRPr="001C4B5B">
              <w:rPr>
                <w:rFonts w:asciiTheme="minorHAnsi" w:hAnsiTheme="minorHAnsi" w:cstheme="minorHAnsi"/>
                <w:color w:val="000000"/>
                <w:sz w:val="20"/>
                <w:szCs w:val="20"/>
              </w:rPr>
              <w:t>2</w:t>
            </w:r>
          </w:p>
        </w:tc>
        <w:tc>
          <w:tcPr>
            <w:tcW w:w="1260" w:type="dxa"/>
            <w:shd w:val="clear" w:color="000000" w:fill="DBE4ED"/>
            <w:noWrap/>
            <w:vAlign w:val="center"/>
          </w:tcPr>
          <w:p w14:paraId="0719D6F0" w14:textId="70030D7B" w:rsidR="00980C32" w:rsidRPr="001C4B5B" w:rsidRDefault="00980C32" w:rsidP="00980C32">
            <w:pPr>
              <w:spacing w:after="0" w:line="240" w:lineRule="auto"/>
              <w:jc w:val="center"/>
              <w:rPr>
                <w:rFonts w:asciiTheme="minorHAnsi" w:eastAsia="Times New Roman" w:hAnsiTheme="minorHAnsi" w:cstheme="minorHAnsi"/>
                <w:color w:val="000000"/>
                <w:sz w:val="20"/>
                <w:szCs w:val="20"/>
                <w:lang w:eastAsia="en-US"/>
              </w:rPr>
            </w:pPr>
            <w:r w:rsidRPr="001C4B5B">
              <w:rPr>
                <w:rFonts w:asciiTheme="minorHAnsi" w:hAnsiTheme="minorHAnsi" w:cstheme="minorHAnsi"/>
                <w:color w:val="000000"/>
                <w:sz w:val="20"/>
                <w:szCs w:val="20"/>
              </w:rPr>
              <w:t> 0</w:t>
            </w:r>
          </w:p>
        </w:tc>
        <w:tc>
          <w:tcPr>
            <w:tcW w:w="1260" w:type="dxa"/>
            <w:shd w:val="clear" w:color="000000" w:fill="DBE4ED"/>
            <w:noWrap/>
            <w:vAlign w:val="center"/>
          </w:tcPr>
          <w:p w14:paraId="05576DD6" w14:textId="69EC50D0" w:rsidR="00980C32" w:rsidRPr="001C4B5B" w:rsidRDefault="00980C32" w:rsidP="00980C32">
            <w:pPr>
              <w:spacing w:after="0" w:line="240" w:lineRule="auto"/>
              <w:jc w:val="center"/>
              <w:rPr>
                <w:rFonts w:asciiTheme="minorHAnsi" w:eastAsia="Times New Roman" w:hAnsiTheme="minorHAnsi" w:cstheme="minorHAnsi"/>
                <w:color w:val="000000"/>
                <w:sz w:val="20"/>
                <w:szCs w:val="20"/>
                <w:lang w:eastAsia="en-US"/>
              </w:rPr>
            </w:pPr>
            <w:r w:rsidRPr="001C4B5B">
              <w:rPr>
                <w:rFonts w:asciiTheme="minorHAnsi" w:hAnsiTheme="minorHAnsi" w:cstheme="minorHAnsi"/>
                <w:color w:val="000000"/>
                <w:sz w:val="20"/>
                <w:szCs w:val="20"/>
              </w:rPr>
              <w:t>0</w:t>
            </w:r>
          </w:p>
        </w:tc>
        <w:tc>
          <w:tcPr>
            <w:tcW w:w="1170" w:type="dxa"/>
            <w:shd w:val="clear" w:color="000000" w:fill="DBE4ED"/>
            <w:noWrap/>
            <w:vAlign w:val="center"/>
          </w:tcPr>
          <w:p w14:paraId="061D6A83" w14:textId="7A01D50D" w:rsidR="00980C32" w:rsidRPr="001C4B5B" w:rsidRDefault="00980C32" w:rsidP="00980C32">
            <w:pPr>
              <w:spacing w:after="0" w:line="240" w:lineRule="auto"/>
              <w:jc w:val="center"/>
              <w:rPr>
                <w:rFonts w:asciiTheme="minorHAnsi" w:eastAsia="Times New Roman" w:hAnsiTheme="minorHAnsi" w:cstheme="minorHAnsi"/>
                <w:color w:val="000000"/>
                <w:sz w:val="20"/>
                <w:szCs w:val="20"/>
                <w:lang w:eastAsia="en-US"/>
              </w:rPr>
            </w:pPr>
            <w:r w:rsidRPr="001C4B5B">
              <w:rPr>
                <w:rFonts w:asciiTheme="minorHAnsi" w:hAnsiTheme="minorHAnsi" w:cstheme="minorHAnsi"/>
                <w:color w:val="000000"/>
                <w:sz w:val="20"/>
                <w:szCs w:val="20"/>
              </w:rPr>
              <w:t>20</w:t>
            </w:r>
          </w:p>
        </w:tc>
        <w:tc>
          <w:tcPr>
            <w:tcW w:w="1080" w:type="dxa"/>
            <w:shd w:val="clear" w:color="000000" w:fill="DBE4ED"/>
            <w:noWrap/>
            <w:vAlign w:val="center"/>
          </w:tcPr>
          <w:p w14:paraId="318BC6CF" w14:textId="320C8DAE" w:rsidR="00980C32" w:rsidRPr="001C4B5B" w:rsidRDefault="00980C32" w:rsidP="00980C32">
            <w:pPr>
              <w:spacing w:after="0" w:line="240" w:lineRule="auto"/>
              <w:jc w:val="center"/>
              <w:rPr>
                <w:rFonts w:asciiTheme="minorHAnsi" w:eastAsia="Times New Roman" w:hAnsiTheme="minorHAnsi" w:cstheme="minorHAnsi"/>
                <w:color w:val="000000"/>
                <w:sz w:val="20"/>
                <w:szCs w:val="20"/>
                <w:lang w:eastAsia="en-US"/>
              </w:rPr>
            </w:pPr>
            <w:r w:rsidRPr="001C4B5B">
              <w:rPr>
                <w:rFonts w:asciiTheme="minorHAnsi" w:hAnsiTheme="minorHAnsi" w:cstheme="minorHAnsi"/>
                <w:color w:val="000000"/>
                <w:sz w:val="20"/>
                <w:szCs w:val="20"/>
              </w:rPr>
              <w:t>22</w:t>
            </w:r>
          </w:p>
        </w:tc>
      </w:tr>
      <w:tr w:rsidR="00980C32" w:rsidRPr="001C4B5B" w14:paraId="419D93FD" w14:textId="77777777" w:rsidTr="008D6B43">
        <w:trPr>
          <w:trHeight w:val="288"/>
        </w:trPr>
        <w:tc>
          <w:tcPr>
            <w:tcW w:w="3780" w:type="dxa"/>
            <w:shd w:val="clear" w:color="000000" w:fill="DBE4ED"/>
            <w:noWrap/>
            <w:vAlign w:val="bottom"/>
          </w:tcPr>
          <w:p w14:paraId="4B6733F2" w14:textId="219FB509" w:rsidR="00980C32" w:rsidRPr="001C4B5B" w:rsidRDefault="00980C32" w:rsidP="00980C32">
            <w:pPr>
              <w:spacing w:after="0" w:line="240" w:lineRule="auto"/>
              <w:rPr>
                <w:rFonts w:asciiTheme="minorHAnsi" w:eastAsia="Times New Roman" w:hAnsiTheme="minorHAnsi" w:cstheme="minorHAnsi"/>
                <w:color w:val="000000"/>
                <w:sz w:val="20"/>
                <w:szCs w:val="20"/>
                <w:lang w:eastAsia="en-US"/>
              </w:rPr>
            </w:pPr>
            <w:r w:rsidRPr="001C4B5B">
              <w:rPr>
                <w:rFonts w:asciiTheme="minorHAnsi" w:hAnsiTheme="minorHAnsi" w:cstheme="minorHAnsi"/>
                <w:color w:val="000000"/>
                <w:sz w:val="20"/>
                <w:szCs w:val="20"/>
              </w:rPr>
              <w:t>Hypertension</w:t>
            </w:r>
          </w:p>
        </w:tc>
        <w:tc>
          <w:tcPr>
            <w:tcW w:w="1260" w:type="dxa"/>
            <w:shd w:val="clear" w:color="000000" w:fill="DBE4ED"/>
            <w:noWrap/>
            <w:vAlign w:val="center"/>
          </w:tcPr>
          <w:p w14:paraId="5140BAEE" w14:textId="06888344" w:rsidR="00980C32" w:rsidRPr="001C4B5B" w:rsidRDefault="00980C32" w:rsidP="00980C32">
            <w:pPr>
              <w:spacing w:after="0" w:line="240" w:lineRule="auto"/>
              <w:jc w:val="center"/>
              <w:rPr>
                <w:rFonts w:asciiTheme="minorHAnsi" w:eastAsia="Times New Roman" w:hAnsiTheme="minorHAnsi" w:cstheme="minorHAnsi"/>
                <w:color w:val="000000"/>
                <w:sz w:val="20"/>
                <w:szCs w:val="20"/>
                <w:lang w:eastAsia="en-US"/>
              </w:rPr>
            </w:pPr>
            <w:r w:rsidRPr="001C4B5B">
              <w:rPr>
                <w:rFonts w:asciiTheme="minorHAnsi" w:hAnsiTheme="minorHAnsi" w:cstheme="minorHAnsi"/>
                <w:color w:val="000000"/>
                <w:sz w:val="20"/>
                <w:szCs w:val="20"/>
              </w:rPr>
              <w:t>5</w:t>
            </w:r>
          </w:p>
        </w:tc>
        <w:tc>
          <w:tcPr>
            <w:tcW w:w="1260" w:type="dxa"/>
            <w:shd w:val="clear" w:color="000000" w:fill="DBE4ED"/>
            <w:noWrap/>
            <w:vAlign w:val="center"/>
          </w:tcPr>
          <w:p w14:paraId="3B502B81" w14:textId="2D6F44BF" w:rsidR="00980C32" w:rsidRPr="001C4B5B" w:rsidRDefault="00980C32" w:rsidP="00980C32">
            <w:pPr>
              <w:spacing w:after="0" w:line="240" w:lineRule="auto"/>
              <w:jc w:val="center"/>
              <w:rPr>
                <w:rFonts w:asciiTheme="minorHAnsi" w:eastAsia="Times New Roman" w:hAnsiTheme="minorHAnsi" w:cstheme="minorHAnsi"/>
                <w:color w:val="000000"/>
                <w:sz w:val="20"/>
                <w:szCs w:val="20"/>
                <w:lang w:eastAsia="en-US"/>
              </w:rPr>
            </w:pPr>
            <w:r w:rsidRPr="001C4B5B">
              <w:rPr>
                <w:rFonts w:asciiTheme="minorHAnsi" w:hAnsiTheme="minorHAnsi" w:cstheme="minorHAnsi"/>
                <w:color w:val="000000"/>
                <w:sz w:val="20"/>
                <w:szCs w:val="20"/>
              </w:rPr>
              <w:t> 0</w:t>
            </w:r>
          </w:p>
        </w:tc>
        <w:tc>
          <w:tcPr>
            <w:tcW w:w="1260" w:type="dxa"/>
            <w:shd w:val="clear" w:color="000000" w:fill="DBE4ED"/>
            <w:noWrap/>
            <w:vAlign w:val="center"/>
          </w:tcPr>
          <w:p w14:paraId="0DA1D50C" w14:textId="29E52464" w:rsidR="00980C32" w:rsidRPr="001C4B5B" w:rsidRDefault="00980C32" w:rsidP="00980C32">
            <w:pPr>
              <w:spacing w:after="0" w:line="240" w:lineRule="auto"/>
              <w:jc w:val="center"/>
              <w:rPr>
                <w:rFonts w:asciiTheme="minorHAnsi" w:eastAsia="Times New Roman" w:hAnsiTheme="minorHAnsi" w:cstheme="minorHAnsi"/>
                <w:color w:val="000000"/>
                <w:sz w:val="20"/>
                <w:szCs w:val="20"/>
                <w:lang w:eastAsia="en-US"/>
              </w:rPr>
            </w:pPr>
            <w:r w:rsidRPr="001C4B5B">
              <w:rPr>
                <w:rFonts w:asciiTheme="minorHAnsi" w:hAnsiTheme="minorHAnsi" w:cstheme="minorHAnsi"/>
                <w:color w:val="000000"/>
                <w:sz w:val="20"/>
                <w:szCs w:val="20"/>
              </w:rPr>
              <w:t>0</w:t>
            </w:r>
          </w:p>
        </w:tc>
        <w:tc>
          <w:tcPr>
            <w:tcW w:w="1170" w:type="dxa"/>
            <w:shd w:val="clear" w:color="000000" w:fill="DBE4ED"/>
            <w:noWrap/>
            <w:vAlign w:val="center"/>
          </w:tcPr>
          <w:p w14:paraId="1476F764" w14:textId="33575CEB" w:rsidR="00980C32" w:rsidRPr="001C4B5B" w:rsidRDefault="00980C32" w:rsidP="00980C32">
            <w:pPr>
              <w:spacing w:after="0" w:line="240" w:lineRule="auto"/>
              <w:jc w:val="center"/>
              <w:rPr>
                <w:rFonts w:asciiTheme="minorHAnsi" w:eastAsia="Times New Roman" w:hAnsiTheme="minorHAnsi" w:cstheme="minorHAnsi"/>
                <w:color w:val="000000"/>
                <w:sz w:val="20"/>
                <w:szCs w:val="20"/>
                <w:lang w:eastAsia="en-US"/>
              </w:rPr>
            </w:pPr>
            <w:r w:rsidRPr="001C4B5B">
              <w:rPr>
                <w:rFonts w:asciiTheme="minorHAnsi" w:hAnsiTheme="minorHAnsi" w:cstheme="minorHAnsi"/>
                <w:color w:val="000000"/>
                <w:sz w:val="20"/>
                <w:szCs w:val="20"/>
              </w:rPr>
              <w:t>13</w:t>
            </w:r>
          </w:p>
        </w:tc>
        <w:tc>
          <w:tcPr>
            <w:tcW w:w="1080" w:type="dxa"/>
            <w:shd w:val="clear" w:color="000000" w:fill="DBE4ED"/>
            <w:noWrap/>
            <w:vAlign w:val="center"/>
          </w:tcPr>
          <w:p w14:paraId="32FD7C7D" w14:textId="26A41352" w:rsidR="00980C32" w:rsidRPr="001C4B5B" w:rsidRDefault="00980C32" w:rsidP="00980C32">
            <w:pPr>
              <w:spacing w:after="0" w:line="240" w:lineRule="auto"/>
              <w:jc w:val="center"/>
              <w:rPr>
                <w:rFonts w:asciiTheme="minorHAnsi" w:eastAsia="Times New Roman" w:hAnsiTheme="minorHAnsi" w:cstheme="minorHAnsi"/>
                <w:color w:val="000000"/>
                <w:sz w:val="20"/>
                <w:szCs w:val="20"/>
                <w:lang w:eastAsia="en-US"/>
              </w:rPr>
            </w:pPr>
            <w:r w:rsidRPr="001C4B5B">
              <w:rPr>
                <w:rFonts w:asciiTheme="minorHAnsi" w:hAnsiTheme="minorHAnsi" w:cstheme="minorHAnsi"/>
                <w:color w:val="000000"/>
                <w:sz w:val="20"/>
                <w:szCs w:val="20"/>
              </w:rPr>
              <w:t>18</w:t>
            </w:r>
          </w:p>
        </w:tc>
      </w:tr>
      <w:tr w:rsidR="00980C32" w:rsidRPr="001C4B5B" w14:paraId="5ACA9844" w14:textId="77777777" w:rsidTr="008D6B43">
        <w:trPr>
          <w:trHeight w:val="288"/>
        </w:trPr>
        <w:tc>
          <w:tcPr>
            <w:tcW w:w="3780" w:type="dxa"/>
            <w:shd w:val="clear" w:color="000000" w:fill="DBE4ED"/>
            <w:noWrap/>
            <w:vAlign w:val="bottom"/>
          </w:tcPr>
          <w:p w14:paraId="55431CD0" w14:textId="23BA71F9" w:rsidR="00980C32" w:rsidRPr="001C4B5B" w:rsidRDefault="00980C32" w:rsidP="00980C32">
            <w:pPr>
              <w:spacing w:after="0" w:line="240" w:lineRule="auto"/>
              <w:rPr>
                <w:rFonts w:asciiTheme="minorHAnsi" w:eastAsia="Times New Roman" w:hAnsiTheme="minorHAnsi" w:cstheme="minorHAnsi"/>
                <w:color w:val="000000"/>
                <w:sz w:val="20"/>
                <w:szCs w:val="20"/>
                <w:lang w:eastAsia="en-US"/>
              </w:rPr>
            </w:pPr>
            <w:r w:rsidRPr="001C4B5B">
              <w:rPr>
                <w:rFonts w:asciiTheme="minorHAnsi" w:hAnsiTheme="minorHAnsi" w:cstheme="minorHAnsi"/>
                <w:color w:val="000000"/>
                <w:sz w:val="20"/>
                <w:szCs w:val="20"/>
              </w:rPr>
              <w:t xml:space="preserve">COVID </w:t>
            </w:r>
            <w:r w:rsidR="002A1706" w:rsidRPr="001C4B5B">
              <w:rPr>
                <w:rFonts w:asciiTheme="minorHAnsi" w:hAnsiTheme="minorHAnsi" w:cstheme="minorHAnsi"/>
                <w:color w:val="000000"/>
                <w:sz w:val="20"/>
                <w:szCs w:val="20"/>
              </w:rPr>
              <w:t>positive</w:t>
            </w:r>
          </w:p>
        </w:tc>
        <w:tc>
          <w:tcPr>
            <w:tcW w:w="1260" w:type="dxa"/>
            <w:shd w:val="clear" w:color="000000" w:fill="DBE4ED"/>
            <w:noWrap/>
            <w:vAlign w:val="center"/>
          </w:tcPr>
          <w:p w14:paraId="0AB5317B" w14:textId="3E207D21" w:rsidR="00980C32" w:rsidRPr="001C4B5B" w:rsidRDefault="00980C32" w:rsidP="00980C32">
            <w:pPr>
              <w:spacing w:after="0" w:line="240" w:lineRule="auto"/>
              <w:jc w:val="center"/>
              <w:rPr>
                <w:rFonts w:asciiTheme="minorHAnsi" w:eastAsia="Times New Roman" w:hAnsiTheme="minorHAnsi" w:cstheme="minorHAnsi"/>
                <w:color w:val="000000"/>
                <w:sz w:val="20"/>
                <w:szCs w:val="20"/>
                <w:lang w:eastAsia="en-US"/>
              </w:rPr>
            </w:pPr>
            <w:r w:rsidRPr="001C4B5B">
              <w:rPr>
                <w:rFonts w:asciiTheme="minorHAnsi" w:hAnsiTheme="minorHAnsi" w:cstheme="minorHAnsi"/>
                <w:color w:val="000000"/>
                <w:sz w:val="20"/>
                <w:szCs w:val="20"/>
              </w:rPr>
              <w:t>5</w:t>
            </w:r>
          </w:p>
        </w:tc>
        <w:tc>
          <w:tcPr>
            <w:tcW w:w="1260" w:type="dxa"/>
            <w:shd w:val="clear" w:color="000000" w:fill="DBE4ED"/>
            <w:noWrap/>
            <w:vAlign w:val="center"/>
          </w:tcPr>
          <w:p w14:paraId="6437EDF5" w14:textId="51E03678" w:rsidR="00980C32" w:rsidRPr="001C4B5B" w:rsidRDefault="00980C32" w:rsidP="00980C32">
            <w:pPr>
              <w:spacing w:after="0" w:line="240" w:lineRule="auto"/>
              <w:jc w:val="center"/>
              <w:rPr>
                <w:rFonts w:asciiTheme="minorHAnsi" w:eastAsia="Times New Roman" w:hAnsiTheme="minorHAnsi" w:cstheme="minorHAnsi"/>
                <w:color w:val="000000"/>
                <w:sz w:val="20"/>
                <w:szCs w:val="20"/>
                <w:lang w:eastAsia="en-US"/>
              </w:rPr>
            </w:pPr>
            <w:r w:rsidRPr="001C4B5B">
              <w:rPr>
                <w:rFonts w:asciiTheme="minorHAnsi" w:hAnsiTheme="minorHAnsi" w:cstheme="minorHAnsi"/>
                <w:color w:val="000000"/>
                <w:sz w:val="20"/>
                <w:szCs w:val="20"/>
              </w:rPr>
              <w:t> 0</w:t>
            </w:r>
          </w:p>
        </w:tc>
        <w:tc>
          <w:tcPr>
            <w:tcW w:w="1260" w:type="dxa"/>
            <w:shd w:val="clear" w:color="000000" w:fill="DBE4ED"/>
            <w:noWrap/>
            <w:vAlign w:val="center"/>
          </w:tcPr>
          <w:p w14:paraId="50B0CBA3" w14:textId="56B1C839" w:rsidR="00980C32" w:rsidRPr="001C4B5B" w:rsidRDefault="00980C32" w:rsidP="00980C32">
            <w:pPr>
              <w:spacing w:after="0" w:line="240" w:lineRule="auto"/>
              <w:jc w:val="center"/>
              <w:rPr>
                <w:rFonts w:asciiTheme="minorHAnsi" w:eastAsia="Times New Roman" w:hAnsiTheme="minorHAnsi" w:cstheme="minorHAnsi"/>
                <w:color w:val="000000"/>
                <w:sz w:val="20"/>
                <w:szCs w:val="20"/>
                <w:lang w:eastAsia="en-US"/>
              </w:rPr>
            </w:pPr>
            <w:r w:rsidRPr="001C4B5B">
              <w:rPr>
                <w:rFonts w:asciiTheme="minorHAnsi" w:hAnsiTheme="minorHAnsi" w:cstheme="minorHAnsi"/>
                <w:color w:val="000000"/>
                <w:sz w:val="20"/>
                <w:szCs w:val="20"/>
              </w:rPr>
              <w:t>0</w:t>
            </w:r>
          </w:p>
        </w:tc>
        <w:tc>
          <w:tcPr>
            <w:tcW w:w="1170" w:type="dxa"/>
            <w:shd w:val="clear" w:color="000000" w:fill="DBE4ED"/>
            <w:noWrap/>
            <w:vAlign w:val="center"/>
          </w:tcPr>
          <w:p w14:paraId="2980FAD1" w14:textId="39946D53" w:rsidR="00980C32" w:rsidRPr="001C4B5B" w:rsidRDefault="00980C32" w:rsidP="00980C32">
            <w:pPr>
              <w:spacing w:after="0" w:line="240" w:lineRule="auto"/>
              <w:jc w:val="center"/>
              <w:rPr>
                <w:rFonts w:asciiTheme="minorHAnsi" w:eastAsia="Times New Roman" w:hAnsiTheme="minorHAnsi" w:cstheme="minorHAnsi"/>
                <w:color w:val="000000"/>
                <w:sz w:val="20"/>
                <w:szCs w:val="20"/>
                <w:lang w:eastAsia="en-US"/>
              </w:rPr>
            </w:pPr>
            <w:r w:rsidRPr="001C4B5B">
              <w:rPr>
                <w:rFonts w:asciiTheme="minorHAnsi" w:hAnsiTheme="minorHAnsi" w:cstheme="minorHAnsi"/>
                <w:color w:val="000000"/>
                <w:sz w:val="20"/>
                <w:szCs w:val="20"/>
              </w:rPr>
              <w:t>11</w:t>
            </w:r>
          </w:p>
        </w:tc>
        <w:tc>
          <w:tcPr>
            <w:tcW w:w="1080" w:type="dxa"/>
            <w:shd w:val="clear" w:color="000000" w:fill="DBE4ED"/>
            <w:noWrap/>
            <w:vAlign w:val="center"/>
          </w:tcPr>
          <w:p w14:paraId="5422EC28" w14:textId="7F85F2B9" w:rsidR="00980C32" w:rsidRPr="001C4B5B" w:rsidRDefault="00980C32" w:rsidP="00980C32">
            <w:pPr>
              <w:spacing w:after="0" w:line="240" w:lineRule="auto"/>
              <w:jc w:val="center"/>
              <w:rPr>
                <w:rFonts w:asciiTheme="minorHAnsi" w:eastAsia="Times New Roman" w:hAnsiTheme="minorHAnsi" w:cstheme="minorHAnsi"/>
                <w:color w:val="000000"/>
                <w:sz w:val="20"/>
                <w:szCs w:val="20"/>
                <w:lang w:eastAsia="en-US"/>
              </w:rPr>
            </w:pPr>
            <w:r w:rsidRPr="001C4B5B">
              <w:rPr>
                <w:rFonts w:asciiTheme="minorHAnsi" w:hAnsiTheme="minorHAnsi" w:cstheme="minorHAnsi"/>
                <w:color w:val="000000"/>
                <w:sz w:val="20"/>
                <w:szCs w:val="20"/>
              </w:rPr>
              <w:t>16</w:t>
            </w:r>
          </w:p>
        </w:tc>
      </w:tr>
      <w:tr w:rsidR="00980C32" w:rsidRPr="001C4B5B" w14:paraId="7606CA32" w14:textId="77777777" w:rsidTr="008D6B43">
        <w:trPr>
          <w:trHeight w:val="288"/>
        </w:trPr>
        <w:tc>
          <w:tcPr>
            <w:tcW w:w="3780" w:type="dxa"/>
            <w:shd w:val="clear" w:color="000000" w:fill="DBE4ED"/>
            <w:noWrap/>
            <w:vAlign w:val="bottom"/>
          </w:tcPr>
          <w:p w14:paraId="29404B76" w14:textId="41EEE24F" w:rsidR="00980C32" w:rsidRPr="001C4B5B" w:rsidRDefault="00980C32" w:rsidP="00980C32">
            <w:pPr>
              <w:spacing w:after="0" w:line="240" w:lineRule="auto"/>
              <w:rPr>
                <w:rFonts w:asciiTheme="minorHAnsi" w:eastAsia="Times New Roman" w:hAnsiTheme="minorHAnsi" w:cstheme="minorHAnsi"/>
                <w:color w:val="000000"/>
                <w:sz w:val="20"/>
                <w:szCs w:val="20"/>
                <w:lang w:eastAsia="en-US"/>
              </w:rPr>
            </w:pPr>
            <w:r w:rsidRPr="001C4B5B">
              <w:rPr>
                <w:rFonts w:asciiTheme="minorHAnsi" w:hAnsiTheme="minorHAnsi" w:cstheme="minorHAnsi"/>
                <w:color w:val="000000"/>
                <w:sz w:val="20"/>
                <w:szCs w:val="20"/>
              </w:rPr>
              <w:t>Urinary Tract Infection</w:t>
            </w:r>
          </w:p>
        </w:tc>
        <w:tc>
          <w:tcPr>
            <w:tcW w:w="1260" w:type="dxa"/>
            <w:shd w:val="clear" w:color="000000" w:fill="DBE4ED"/>
            <w:noWrap/>
            <w:vAlign w:val="center"/>
          </w:tcPr>
          <w:p w14:paraId="229BB0C8" w14:textId="40FA829E" w:rsidR="00980C32" w:rsidRPr="001C4B5B" w:rsidRDefault="00980C32" w:rsidP="00980C32">
            <w:pPr>
              <w:spacing w:after="0" w:line="240" w:lineRule="auto"/>
              <w:jc w:val="center"/>
              <w:rPr>
                <w:rFonts w:asciiTheme="minorHAnsi" w:eastAsia="Times New Roman" w:hAnsiTheme="minorHAnsi" w:cstheme="minorHAnsi"/>
                <w:color w:val="000000"/>
                <w:sz w:val="20"/>
                <w:szCs w:val="20"/>
                <w:lang w:eastAsia="en-US"/>
              </w:rPr>
            </w:pPr>
            <w:r w:rsidRPr="001C4B5B">
              <w:rPr>
                <w:rFonts w:asciiTheme="minorHAnsi" w:hAnsiTheme="minorHAnsi" w:cstheme="minorHAnsi"/>
                <w:color w:val="000000"/>
                <w:sz w:val="20"/>
                <w:szCs w:val="20"/>
              </w:rPr>
              <w:t>0</w:t>
            </w:r>
          </w:p>
        </w:tc>
        <w:tc>
          <w:tcPr>
            <w:tcW w:w="1260" w:type="dxa"/>
            <w:shd w:val="clear" w:color="000000" w:fill="DBE4ED"/>
            <w:noWrap/>
            <w:vAlign w:val="center"/>
          </w:tcPr>
          <w:p w14:paraId="49D9A400" w14:textId="00D5B044" w:rsidR="00980C32" w:rsidRPr="001C4B5B" w:rsidRDefault="00980C32" w:rsidP="00980C32">
            <w:pPr>
              <w:spacing w:after="0" w:line="240" w:lineRule="auto"/>
              <w:jc w:val="center"/>
              <w:rPr>
                <w:rFonts w:asciiTheme="minorHAnsi" w:eastAsia="Times New Roman" w:hAnsiTheme="minorHAnsi" w:cstheme="minorHAnsi"/>
                <w:color w:val="000000"/>
                <w:sz w:val="20"/>
                <w:szCs w:val="20"/>
                <w:lang w:eastAsia="en-US"/>
              </w:rPr>
            </w:pPr>
            <w:r w:rsidRPr="001C4B5B">
              <w:rPr>
                <w:rFonts w:asciiTheme="minorHAnsi" w:hAnsiTheme="minorHAnsi" w:cstheme="minorHAnsi"/>
                <w:color w:val="000000"/>
                <w:sz w:val="20"/>
                <w:szCs w:val="20"/>
              </w:rPr>
              <w:t>1</w:t>
            </w:r>
          </w:p>
        </w:tc>
        <w:tc>
          <w:tcPr>
            <w:tcW w:w="1260" w:type="dxa"/>
            <w:shd w:val="clear" w:color="000000" w:fill="DBE4ED"/>
            <w:noWrap/>
            <w:vAlign w:val="center"/>
          </w:tcPr>
          <w:p w14:paraId="3D756872" w14:textId="7D5B1FE0" w:rsidR="00980C32" w:rsidRPr="001C4B5B" w:rsidRDefault="00980C32" w:rsidP="00980C32">
            <w:pPr>
              <w:spacing w:after="0" w:line="240" w:lineRule="auto"/>
              <w:jc w:val="center"/>
              <w:rPr>
                <w:rFonts w:asciiTheme="minorHAnsi" w:eastAsia="Times New Roman" w:hAnsiTheme="minorHAnsi" w:cstheme="minorHAnsi"/>
                <w:color w:val="000000"/>
                <w:sz w:val="20"/>
                <w:szCs w:val="20"/>
                <w:lang w:eastAsia="en-US"/>
              </w:rPr>
            </w:pPr>
            <w:r w:rsidRPr="001C4B5B">
              <w:rPr>
                <w:rFonts w:asciiTheme="minorHAnsi" w:hAnsiTheme="minorHAnsi" w:cstheme="minorHAnsi"/>
                <w:color w:val="000000"/>
                <w:sz w:val="20"/>
                <w:szCs w:val="20"/>
              </w:rPr>
              <w:t>0</w:t>
            </w:r>
          </w:p>
        </w:tc>
        <w:tc>
          <w:tcPr>
            <w:tcW w:w="1170" w:type="dxa"/>
            <w:shd w:val="clear" w:color="000000" w:fill="DBE4ED"/>
            <w:noWrap/>
            <w:vAlign w:val="center"/>
          </w:tcPr>
          <w:p w14:paraId="5C34AC16" w14:textId="0E32EDB6" w:rsidR="00980C32" w:rsidRPr="001C4B5B" w:rsidRDefault="00980C32" w:rsidP="00980C32">
            <w:pPr>
              <w:spacing w:after="0" w:line="240" w:lineRule="auto"/>
              <w:jc w:val="center"/>
              <w:rPr>
                <w:rFonts w:asciiTheme="minorHAnsi" w:eastAsia="Times New Roman" w:hAnsiTheme="minorHAnsi" w:cstheme="minorHAnsi"/>
                <w:color w:val="000000"/>
                <w:sz w:val="20"/>
                <w:szCs w:val="20"/>
                <w:lang w:eastAsia="en-US"/>
              </w:rPr>
            </w:pPr>
            <w:r w:rsidRPr="001C4B5B">
              <w:rPr>
                <w:rFonts w:asciiTheme="minorHAnsi" w:hAnsiTheme="minorHAnsi" w:cstheme="minorHAnsi"/>
                <w:color w:val="000000"/>
                <w:sz w:val="20"/>
                <w:szCs w:val="20"/>
              </w:rPr>
              <w:t>15</w:t>
            </w:r>
          </w:p>
        </w:tc>
        <w:tc>
          <w:tcPr>
            <w:tcW w:w="1080" w:type="dxa"/>
            <w:shd w:val="clear" w:color="000000" w:fill="DBE4ED"/>
            <w:noWrap/>
            <w:vAlign w:val="center"/>
          </w:tcPr>
          <w:p w14:paraId="6BBABD8D" w14:textId="50BD9D6A" w:rsidR="00980C32" w:rsidRPr="001C4B5B" w:rsidRDefault="00980C32" w:rsidP="00980C32">
            <w:pPr>
              <w:spacing w:after="0" w:line="240" w:lineRule="auto"/>
              <w:jc w:val="center"/>
              <w:rPr>
                <w:rFonts w:asciiTheme="minorHAnsi" w:eastAsia="Times New Roman" w:hAnsiTheme="minorHAnsi" w:cstheme="minorHAnsi"/>
                <w:color w:val="000000"/>
                <w:sz w:val="20"/>
                <w:szCs w:val="20"/>
                <w:lang w:eastAsia="en-US"/>
              </w:rPr>
            </w:pPr>
            <w:r w:rsidRPr="001C4B5B">
              <w:rPr>
                <w:rFonts w:asciiTheme="minorHAnsi" w:hAnsiTheme="minorHAnsi" w:cstheme="minorHAnsi"/>
                <w:color w:val="000000"/>
                <w:sz w:val="20"/>
                <w:szCs w:val="20"/>
              </w:rPr>
              <w:t>16</w:t>
            </w:r>
          </w:p>
        </w:tc>
      </w:tr>
      <w:tr w:rsidR="00980C32" w:rsidRPr="001C4B5B" w14:paraId="3A4E7EDB" w14:textId="77777777" w:rsidTr="008D6B43">
        <w:trPr>
          <w:trHeight w:val="288"/>
        </w:trPr>
        <w:tc>
          <w:tcPr>
            <w:tcW w:w="3780" w:type="dxa"/>
            <w:shd w:val="clear" w:color="000000" w:fill="DBE4ED"/>
            <w:noWrap/>
            <w:vAlign w:val="bottom"/>
          </w:tcPr>
          <w:p w14:paraId="7D87E9A7" w14:textId="005F50C4" w:rsidR="00980C32" w:rsidRPr="001C4B5B" w:rsidRDefault="00980C32" w:rsidP="00980C32">
            <w:pPr>
              <w:spacing w:after="0" w:line="240" w:lineRule="auto"/>
              <w:rPr>
                <w:rFonts w:asciiTheme="minorHAnsi" w:eastAsia="Times New Roman" w:hAnsiTheme="minorHAnsi" w:cstheme="minorHAnsi"/>
                <w:color w:val="000000"/>
                <w:sz w:val="20"/>
                <w:szCs w:val="20"/>
                <w:lang w:eastAsia="en-US"/>
              </w:rPr>
            </w:pPr>
            <w:r w:rsidRPr="001C4B5B">
              <w:rPr>
                <w:rFonts w:asciiTheme="minorHAnsi" w:hAnsiTheme="minorHAnsi" w:cstheme="minorHAnsi"/>
                <w:color w:val="000000"/>
                <w:sz w:val="20"/>
                <w:szCs w:val="20"/>
              </w:rPr>
              <w:t>Chronic Obstructive Pulmonary Disease</w:t>
            </w:r>
          </w:p>
        </w:tc>
        <w:tc>
          <w:tcPr>
            <w:tcW w:w="1260" w:type="dxa"/>
            <w:shd w:val="clear" w:color="000000" w:fill="DBE4ED"/>
            <w:noWrap/>
            <w:vAlign w:val="center"/>
          </w:tcPr>
          <w:p w14:paraId="621BB7DB" w14:textId="18BEFB27" w:rsidR="00980C32" w:rsidRPr="001C4B5B" w:rsidRDefault="00980C32" w:rsidP="00980C32">
            <w:pPr>
              <w:spacing w:after="0" w:line="240" w:lineRule="auto"/>
              <w:jc w:val="center"/>
              <w:rPr>
                <w:rFonts w:asciiTheme="minorHAnsi" w:eastAsia="Times New Roman" w:hAnsiTheme="minorHAnsi" w:cstheme="minorHAnsi"/>
                <w:color w:val="000000"/>
                <w:sz w:val="20"/>
                <w:szCs w:val="20"/>
                <w:lang w:eastAsia="en-US"/>
              </w:rPr>
            </w:pPr>
            <w:r w:rsidRPr="001C4B5B">
              <w:rPr>
                <w:rFonts w:asciiTheme="minorHAnsi" w:hAnsiTheme="minorHAnsi" w:cstheme="minorHAnsi"/>
                <w:color w:val="000000"/>
                <w:sz w:val="20"/>
                <w:szCs w:val="20"/>
              </w:rPr>
              <w:t>4</w:t>
            </w:r>
          </w:p>
        </w:tc>
        <w:tc>
          <w:tcPr>
            <w:tcW w:w="1260" w:type="dxa"/>
            <w:shd w:val="clear" w:color="000000" w:fill="DBE4ED"/>
            <w:noWrap/>
            <w:vAlign w:val="center"/>
          </w:tcPr>
          <w:p w14:paraId="5C694711" w14:textId="20D7E3EB" w:rsidR="00980C32" w:rsidRPr="001C4B5B" w:rsidRDefault="00980C32" w:rsidP="00980C32">
            <w:pPr>
              <w:spacing w:after="0" w:line="240" w:lineRule="auto"/>
              <w:jc w:val="center"/>
              <w:rPr>
                <w:rFonts w:asciiTheme="minorHAnsi" w:eastAsia="Times New Roman" w:hAnsiTheme="minorHAnsi" w:cstheme="minorHAnsi"/>
                <w:color w:val="000000"/>
                <w:sz w:val="20"/>
                <w:szCs w:val="20"/>
                <w:lang w:eastAsia="en-US"/>
              </w:rPr>
            </w:pPr>
            <w:r w:rsidRPr="001C4B5B">
              <w:rPr>
                <w:rFonts w:asciiTheme="minorHAnsi" w:hAnsiTheme="minorHAnsi" w:cstheme="minorHAnsi"/>
                <w:color w:val="000000"/>
                <w:sz w:val="20"/>
                <w:szCs w:val="20"/>
              </w:rPr>
              <w:t>1</w:t>
            </w:r>
          </w:p>
        </w:tc>
        <w:tc>
          <w:tcPr>
            <w:tcW w:w="1260" w:type="dxa"/>
            <w:shd w:val="clear" w:color="000000" w:fill="DBE4ED"/>
            <w:noWrap/>
            <w:vAlign w:val="center"/>
          </w:tcPr>
          <w:p w14:paraId="4DD83057" w14:textId="2BE2C72B" w:rsidR="00980C32" w:rsidRPr="001C4B5B" w:rsidRDefault="00980C32" w:rsidP="00980C32">
            <w:pPr>
              <w:spacing w:after="0" w:line="240" w:lineRule="auto"/>
              <w:jc w:val="center"/>
              <w:rPr>
                <w:rFonts w:asciiTheme="minorHAnsi" w:eastAsia="Times New Roman" w:hAnsiTheme="minorHAnsi" w:cstheme="minorHAnsi"/>
                <w:color w:val="000000"/>
                <w:sz w:val="20"/>
                <w:szCs w:val="20"/>
                <w:lang w:eastAsia="en-US"/>
              </w:rPr>
            </w:pPr>
            <w:r w:rsidRPr="001C4B5B">
              <w:rPr>
                <w:rFonts w:asciiTheme="minorHAnsi" w:hAnsiTheme="minorHAnsi" w:cstheme="minorHAnsi"/>
                <w:color w:val="000000"/>
                <w:sz w:val="20"/>
                <w:szCs w:val="20"/>
              </w:rPr>
              <w:t>0</w:t>
            </w:r>
          </w:p>
        </w:tc>
        <w:tc>
          <w:tcPr>
            <w:tcW w:w="1170" w:type="dxa"/>
            <w:shd w:val="clear" w:color="000000" w:fill="DBE4ED"/>
            <w:noWrap/>
            <w:vAlign w:val="center"/>
          </w:tcPr>
          <w:p w14:paraId="79C35949" w14:textId="52D60973" w:rsidR="00980C32" w:rsidRPr="001C4B5B" w:rsidRDefault="00980C32" w:rsidP="00980C32">
            <w:pPr>
              <w:spacing w:after="0" w:line="240" w:lineRule="auto"/>
              <w:jc w:val="center"/>
              <w:rPr>
                <w:rFonts w:asciiTheme="minorHAnsi" w:eastAsia="Times New Roman" w:hAnsiTheme="minorHAnsi" w:cstheme="minorHAnsi"/>
                <w:color w:val="000000"/>
                <w:sz w:val="20"/>
                <w:szCs w:val="20"/>
                <w:lang w:eastAsia="en-US"/>
              </w:rPr>
            </w:pPr>
            <w:r w:rsidRPr="001C4B5B">
              <w:rPr>
                <w:rFonts w:asciiTheme="minorHAnsi" w:hAnsiTheme="minorHAnsi" w:cstheme="minorHAnsi"/>
                <w:color w:val="000000"/>
                <w:sz w:val="20"/>
                <w:szCs w:val="20"/>
              </w:rPr>
              <w:t>8</w:t>
            </w:r>
          </w:p>
        </w:tc>
        <w:tc>
          <w:tcPr>
            <w:tcW w:w="1080" w:type="dxa"/>
            <w:shd w:val="clear" w:color="000000" w:fill="DBE4ED"/>
            <w:noWrap/>
            <w:vAlign w:val="center"/>
          </w:tcPr>
          <w:p w14:paraId="564543FF" w14:textId="154CCF3E" w:rsidR="00980C32" w:rsidRPr="001C4B5B" w:rsidRDefault="00980C32" w:rsidP="00980C32">
            <w:pPr>
              <w:spacing w:after="0" w:line="240" w:lineRule="auto"/>
              <w:jc w:val="center"/>
              <w:rPr>
                <w:rFonts w:asciiTheme="minorHAnsi" w:eastAsia="Times New Roman" w:hAnsiTheme="minorHAnsi" w:cstheme="minorHAnsi"/>
                <w:color w:val="000000"/>
                <w:sz w:val="20"/>
                <w:szCs w:val="20"/>
                <w:lang w:eastAsia="en-US"/>
              </w:rPr>
            </w:pPr>
            <w:r w:rsidRPr="001C4B5B">
              <w:rPr>
                <w:rFonts w:asciiTheme="minorHAnsi" w:hAnsiTheme="minorHAnsi" w:cstheme="minorHAnsi"/>
                <w:color w:val="000000"/>
                <w:sz w:val="20"/>
                <w:szCs w:val="20"/>
              </w:rPr>
              <w:t>13</w:t>
            </w:r>
          </w:p>
        </w:tc>
      </w:tr>
      <w:tr w:rsidR="00980C32" w:rsidRPr="001C4B5B" w14:paraId="205537FF" w14:textId="77777777" w:rsidTr="008D6B43">
        <w:trPr>
          <w:trHeight w:val="288"/>
        </w:trPr>
        <w:tc>
          <w:tcPr>
            <w:tcW w:w="3780" w:type="dxa"/>
            <w:shd w:val="clear" w:color="000000" w:fill="DBE4ED"/>
            <w:noWrap/>
            <w:vAlign w:val="bottom"/>
          </w:tcPr>
          <w:p w14:paraId="70655CA4" w14:textId="1269A2D4" w:rsidR="00980C32" w:rsidRPr="001C4B5B" w:rsidRDefault="00980C32" w:rsidP="00980C32">
            <w:pPr>
              <w:spacing w:after="0" w:line="240" w:lineRule="auto"/>
              <w:rPr>
                <w:rFonts w:asciiTheme="minorHAnsi" w:eastAsia="Times New Roman" w:hAnsiTheme="minorHAnsi" w:cstheme="minorHAnsi"/>
                <w:color w:val="000000"/>
                <w:sz w:val="20"/>
                <w:szCs w:val="20"/>
                <w:lang w:eastAsia="en-US"/>
              </w:rPr>
            </w:pPr>
            <w:r w:rsidRPr="001C4B5B">
              <w:rPr>
                <w:rFonts w:asciiTheme="minorHAnsi" w:hAnsiTheme="minorHAnsi" w:cstheme="minorHAnsi"/>
                <w:color w:val="000000"/>
                <w:sz w:val="20"/>
                <w:szCs w:val="20"/>
              </w:rPr>
              <w:t>Upper respiratory infection, acute</w:t>
            </w:r>
          </w:p>
        </w:tc>
        <w:tc>
          <w:tcPr>
            <w:tcW w:w="1260" w:type="dxa"/>
            <w:shd w:val="clear" w:color="000000" w:fill="DBE4ED"/>
            <w:noWrap/>
            <w:vAlign w:val="center"/>
          </w:tcPr>
          <w:p w14:paraId="7B9FEB8C" w14:textId="71B5B8D8" w:rsidR="00980C32" w:rsidRPr="001C4B5B" w:rsidRDefault="00980C32" w:rsidP="00980C32">
            <w:pPr>
              <w:spacing w:after="0" w:line="240" w:lineRule="auto"/>
              <w:jc w:val="center"/>
              <w:rPr>
                <w:rFonts w:asciiTheme="minorHAnsi" w:eastAsia="Times New Roman" w:hAnsiTheme="minorHAnsi" w:cstheme="minorHAnsi"/>
                <w:color w:val="000000"/>
                <w:sz w:val="20"/>
                <w:szCs w:val="20"/>
                <w:lang w:eastAsia="en-US"/>
              </w:rPr>
            </w:pPr>
            <w:r w:rsidRPr="001C4B5B">
              <w:rPr>
                <w:rFonts w:asciiTheme="minorHAnsi" w:hAnsiTheme="minorHAnsi" w:cstheme="minorHAnsi"/>
                <w:color w:val="000000"/>
                <w:sz w:val="20"/>
                <w:szCs w:val="20"/>
              </w:rPr>
              <w:t>1</w:t>
            </w:r>
          </w:p>
        </w:tc>
        <w:tc>
          <w:tcPr>
            <w:tcW w:w="1260" w:type="dxa"/>
            <w:shd w:val="clear" w:color="000000" w:fill="DBE4ED"/>
            <w:noWrap/>
            <w:vAlign w:val="center"/>
          </w:tcPr>
          <w:p w14:paraId="411C5052" w14:textId="3CCD43B1" w:rsidR="00980C32" w:rsidRPr="001C4B5B" w:rsidRDefault="00980C32" w:rsidP="00980C32">
            <w:pPr>
              <w:spacing w:after="0" w:line="240" w:lineRule="auto"/>
              <w:jc w:val="center"/>
              <w:rPr>
                <w:rFonts w:asciiTheme="minorHAnsi" w:eastAsia="Times New Roman" w:hAnsiTheme="minorHAnsi" w:cstheme="minorHAnsi"/>
                <w:color w:val="000000"/>
                <w:sz w:val="20"/>
                <w:szCs w:val="20"/>
                <w:lang w:eastAsia="en-US"/>
              </w:rPr>
            </w:pPr>
            <w:r w:rsidRPr="001C4B5B">
              <w:rPr>
                <w:rFonts w:asciiTheme="minorHAnsi" w:hAnsiTheme="minorHAnsi" w:cstheme="minorHAnsi"/>
                <w:color w:val="000000"/>
                <w:sz w:val="20"/>
                <w:szCs w:val="20"/>
              </w:rPr>
              <w:t> 0</w:t>
            </w:r>
          </w:p>
        </w:tc>
        <w:tc>
          <w:tcPr>
            <w:tcW w:w="1260" w:type="dxa"/>
            <w:shd w:val="clear" w:color="000000" w:fill="DBE4ED"/>
            <w:noWrap/>
            <w:vAlign w:val="center"/>
          </w:tcPr>
          <w:p w14:paraId="76423A5E" w14:textId="35FF7A96" w:rsidR="00980C32" w:rsidRPr="001C4B5B" w:rsidRDefault="00980C32" w:rsidP="00980C32">
            <w:pPr>
              <w:spacing w:after="0" w:line="240" w:lineRule="auto"/>
              <w:jc w:val="center"/>
              <w:rPr>
                <w:rFonts w:asciiTheme="minorHAnsi" w:eastAsia="Times New Roman" w:hAnsiTheme="minorHAnsi" w:cstheme="minorHAnsi"/>
                <w:color w:val="000000"/>
                <w:sz w:val="20"/>
                <w:szCs w:val="20"/>
                <w:lang w:eastAsia="en-US"/>
              </w:rPr>
            </w:pPr>
            <w:r w:rsidRPr="001C4B5B">
              <w:rPr>
                <w:rFonts w:asciiTheme="minorHAnsi" w:hAnsiTheme="minorHAnsi" w:cstheme="minorHAnsi"/>
                <w:color w:val="000000"/>
                <w:sz w:val="20"/>
                <w:szCs w:val="20"/>
              </w:rPr>
              <w:t>0</w:t>
            </w:r>
          </w:p>
        </w:tc>
        <w:tc>
          <w:tcPr>
            <w:tcW w:w="1170" w:type="dxa"/>
            <w:shd w:val="clear" w:color="000000" w:fill="DBE4ED"/>
            <w:noWrap/>
            <w:vAlign w:val="center"/>
          </w:tcPr>
          <w:p w14:paraId="65C62D85" w14:textId="783572AA" w:rsidR="00980C32" w:rsidRPr="001C4B5B" w:rsidRDefault="00980C32" w:rsidP="00980C32">
            <w:pPr>
              <w:spacing w:after="0" w:line="240" w:lineRule="auto"/>
              <w:jc w:val="center"/>
              <w:rPr>
                <w:rFonts w:asciiTheme="minorHAnsi" w:eastAsia="Times New Roman" w:hAnsiTheme="minorHAnsi" w:cstheme="minorHAnsi"/>
                <w:color w:val="000000"/>
                <w:sz w:val="20"/>
                <w:szCs w:val="20"/>
                <w:lang w:eastAsia="en-US"/>
              </w:rPr>
            </w:pPr>
            <w:r w:rsidRPr="001C4B5B">
              <w:rPr>
                <w:rFonts w:asciiTheme="minorHAnsi" w:hAnsiTheme="minorHAnsi" w:cstheme="minorHAnsi"/>
                <w:color w:val="000000"/>
                <w:sz w:val="20"/>
                <w:szCs w:val="20"/>
              </w:rPr>
              <w:t>11</w:t>
            </w:r>
          </w:p>
        </w:tc>
        <w:tc>
          <w:tcPr>
            <w:tcW w:w="1080" w:type="dxa"/>
            <w:shd w:val="clear" w:color="000000" w:fill="DBE4ED"/>
            <w:noWrap/>
            <w:vAlign w:val="center"/>
          </w:tcPr>
          <w:p w14:paraId="7ECD2D71" w14:textId="3EB727EF" w:rsidR="00980C32" w:rsidRPr="001C4B5B" w:rsidRDefault="00980C32" w:rsidP="00980C32">
            <w:pPr>
              <w:spacing w:after="0" w:line="240" w:lineRule="auto"/>
              <w:jc w:val="center"/>
              <w:rPr>
                <w:rFonts w:asciiTheme="minorHAnsi" w:eastAsia="Times New Roman" w:hAnsiTheme="minorHAnsi" w:cstheme="minorHAnsi"/>
                <w:color w:val="000000"/>
                <w:sz w:val="20"/>
                <w:szCs w:val="20"/>
                <w:lang w:eastAsia="en-US"/>
              </w:rPr>
            </w:pPr>
            <w:r w:rsidRPr="001C4B5B">
              <w:rPr>
                <w:rFonts w:asciiTheme="minorHAnsi" w:hAnsiTheme="minorHAnsi" w:cstheme="minorHAnsi"/>
                <w:color w:val="000000"/>
                <w:sz w:val="20"/>
                <w:szCs w:val="20"/>
              </w:rPr>
              <w:t>12</w:t>
            </w:r>
          </w:p>
        </w:tc>
      </w:tr>
      <w:tr w:rsidR="00980C32" w:rsidRPr="001C4B5B" w14:paraId="2ADA1C89" w14:textId="77777777" w:rsidTr="008D6B43">
        <w:trPr>
          <w:trHeight w:val="288"/>
        </w:trPr>
        <w:tc>
          <w:tcPr>
            <w:tcW w:w="3780" w:type="dxa"/>
            <w:shd w:val="clear" w:color="000000" w:fill="DBE4ED"/>
            <w:noWrap/>
            <w:vAlign w:val="bottom"/>
          </w:tcPr>
          <w:p w14:paraId="0051F381" w14:textId="70AEEC86" w:rsidR="00980C32" w:rsidRPr="001C4B5B" w:rsidRDefault="00980C32" w:rsidP="00980C32">
            <w:pPr>
              <w:spacing w:after="0" w:line="240" w:lineRule="auto"/>
              <w:rPr>
                <w:rFonts w:asciiTheme="minorHAnsi" w:eastAsia="Times New Roman" w:hAnsiTheme="minorHAnsi" w:cstheme="minorHAnsi"/>
                <w:color w:val="000000"/>
                <w:sz w:val="20"/>
                <w:szCs w:val="20"/>
                <w:lang w:eastAsia="en-US"/>
              </w:rPr>
            </w:pPr>
            <w:r w:rsidRPr="001C4B5B">
              <w:rPr>
                <w:rFonts w:asciiTheme="minorHAnsi" w:hAnsiTheme="minorHAnsi" w:cstheme="minorHAnsi"/>
                <w:color w:val="000000"/>
                <w:sz w:val="20"/>
                <w:szCs w:val="20"/>
              </w:rPr>
              <w:t>Asthma</w:t>
            </w:r>
          </w:p>
        </w:tc>
        <w:tc>
          <w:tcPr>
            <w:tcW w:w="1260" w:type="dxa"/>
            <w:shd w:val="clear" w:color="000000" w:fill="DBE4ED"/>
            <w:noWrap/>
            <w:vAlign w:val="center"/>
          </w:tcPr>
          <w:p w14:paraId="62F74260" w14:textId="638120B7" w:rsidR="00980C32" w:rsidRPr="001C4B5B" w:rsidRDefault="00980C32" w:rsidP="00980C32">
            <w:pPr>
              <w:spacing w:after="0" w:line="240" w:lineRule="auto"/>
              <w:jc w:val="center"/>
              <w:rPr>
                <w:rFonts w:asciiTheme="minorHAnsi" w:eastAsia="Times New Roman" w:hAnsiTheme="minorHAnsi" w:cstheme="minorHAnsi"/>
                <w:color w:val="000000"/>
                <w:sz w:val="20"/>
                <w:szCs w:val="20"/>
                <w:lang w:eastAsia="en-US"/>
              </w:rPr>
            </w:pPr>
            <w:r w:rsidRPr="001C4B5B">
              <w:rPr>
                <w:rFonts w:asciiTheme="minorHAnsi" w:hAnsiTheme="minorHAnsi" w:cstheme="minorHAnsi"/>
                <w:color w:val="000000"/>
                <w:sz w:val="20"/>
                <w:szCs w:val="20"/>
              </w:rPr>
              <w:t>4</w:t>
            </w:r>
          </w:p>
        </w:tc>
        <w:tc>
          <w:tcPr>
            <w:tcW w:w="1260" w:type="dxa"/>
            <w:shd w:val="clear" w:color="000000" w:fill="DBE4ED"/>
            <w:noWrap/>
            <w:vAlign w:val="center"/>
          </w:tcPr>
          <w:p w14:paraId="42BA44A7" w14:textId="07DA0C35" w:rsidR="00980C32" w:rsidRPr="001C4B5B" w:rsidRDefault="00980C32" w:rsidP="00980C32">
            <w:pPr>
              <w:spacing w:after="0" w:line="240" w:lineRule="auto"/>
              <w:jc w:val="center"/>
              <w:rPr>
                <w:rFonts w:asciiTheme="minorHAnsi" w:eastAsia="Times New Roman" w:hAnsiTheme="minorHAnsi" w:cstheme="minorHAnsi"/>
                <w:color w:val="000000"/>
                <w:sz w:val="20"/>
                <w:szCs w:val="20"/>
                <w:lang w:eastAsia="en-US"/>
              </w:rPr>
            </w:pPr>
            <w:r w:rsidRPr="001C4B5B">
              <w:rPr>
                <w:rFonts w:asciiTheme="minorHAnsi" w:hAnsiTheme="minorHAnsi" w:cstheme="minorHAnsi"/>
                <w:color w:val="000000"/>
                <w:sz w:val="20"/>
                <w:szCs w:val="20"/>
              </w:rPr>
              <w:t> 0</w:t>
            </w:r>
          </w:p>
        </w:tc>
        <w:tc>
          <w:tcPr>
            <w:tcW w:w="1260" w:type="dxa"/>
            <w:shd w:val="clear" w:color="000000" w:fill="DBE4ED"/>
            <w:noWrap/>
            <w:vAlign w:val="center"/>
          </w:tcPr>
          <w:p w14:paraId="7EE8927B" w14:textId="4D3BCC8A" w:rsidR="00980C32" w:rsidRPr="001C4B5B" w:rsidRDefault="00980C32" w:rsidP="00980C32">
            <w:pPr>
              <w:spacing w:after="0" w:line="240" w:lineRule="auto"/>
              <w:jc w:val="center"/>
              <w:rPr>
                <w:rFonts w:asciiTheme="minorHAnsi" w:eastAsia="Times New Roman" w:hAnsiTheme="minorHAnsi" w:cstheme="minorHAnsi"/>
                <w:color w:val="000000"/>
                <w:sz w:val="20"/>
                <w:szCs w:val="20"/>
                <w:lang w:eastAsia="en-US"/>
              </w:rPr>
            </w:pPr>
            <w:r w:rsidRPr="001C4B5B">
              <w:rPr>
                <w:rFonts w:asciiTheme="minorHAnsi" w:hAnsiTheme="minorHAnsi" w:cstheme="minorHAnsi"/>
                <w:color w:val="000000"/>
                <w:sz w:val="20"/>
                <w:szCs w:val="20"/>
              </w:rPr>
              <w:t>1</w:t>
            </w:r>
          </w:p>
        </w:tc>
        <w:tc>
          <w:tcPr>
            <w:tcW w:w="1170" w:type="dxa"/>
            <w:shd w:val="clear" w:color="000000" w:fill="DBE4ED"/>
            <w:noWrap/>
            <w:vAlign w:val="center"/>
          </w:tcPr>
          <w:p w14:paraId="3B487464" w14:textId="357CE78F" w:rsidR="00980C32" w:rsidRPr="001C4B5B" w:rsidRDefault="00980C32" w:rsidP="00980C32">
            <w:pPr>
              <w:spacing w:after="0" w:line="240" w:lineRule="auto"/>
              <w:jc w:val="center"/>
              <w:rPr>
                <w:rFonts w:asciiTheme="minorHAnsi" w:eastAsia="Times New Roman" w:hAnsiTheme="minorHAnsi" w:cstheme="minorHAnsi"/>
                <w:color w:val="000000"/>
                <w:sz w:val="20"/>
                <w:szCs w:val="20"/>
                <w:lang w:eastAsia="en-US"/>
              </w:rPr>
            </w:pPr>
            <w:r w:rsidRPr="001C4B5B">
              <w:rPr>
                <w:rFonts w:asciiTheme="minorHAnsi" w:hAnsiTheme="minorHAnsi" w:cstheme="minorHAnsi"/>
                <w:color w:val="000000"/>
                <w:sz w:val="20"/>
                <w:szCs w:val="20"/>
              </w:rPr>
              <w:t>6</w:t>
            </w:r>
          </w:p>
        </w:tc>
        <w:tc>
          <w:tcPr>
            <w:tcW w:w="1080" w:type="dxa"/>
            <w:shd w:val="clear" w:color="000000" w:fill="DBE4ED"/>
            <w:noWrap/>
            <w:vAlign w:val="center"/>
          </w:tcPr>
          <w:p w14:paraId="65A5F5F8" w14:textId="1383CE53" w:rsidR="00980C32" w:rsidRPr="001C4B5B" w:rsidRDefault="00980C32" w:rsidP="00980C32">
            <w:pPr>
              <w:spacing w:after="0" w:line="240" w:lineRule="auto"/>
              <w:jc w:val="center"/>
              <w:rPr>
                <w:rFonts w:asciiTheme="minorHAnsi" w:eastAsia="Times New Roman" w:hAnsiTheme="minorHAnsi" w:cstheme="minorHAnsi"/>
                <w:color w:val="000000"/>
                <w:sz w:val="20"/>
                <w:szCs w:val="20"/>
                <w:lang w:eastAsia="en-US"/>
              </w:rPr>
            </w:pPr>
            <w:r w:rsidRPr="001C4B5B">
              <w:rPr>
                <w:rFonts w:asciiTheme="minorHAnsi" w:hAnsiTheme="minorHAnsi" w:cstheme="minorHAnsi"/>
                <w:color w:val="000000"/>
                <w:sz w:val="20"/>
                <w:szCs w:val="20"/>
              </w:rPr>
              <w:t>11</w:t>
            </w:r>
          </w:p>
        </w:tc>
      </w:tr>
      <w:tr w:rsidR="00980C32" w:rsidRPr="001C4B5B" w14:paraId="43742CBC" w14:textId="77777777" w:rsidTr="008D6B43">
        <w:trPr>
          <w:trHeight w:val="288"/>
        </w:trPr>
        <w:tc>
          <w:tcPr>
            <w:tcW w:w="3780" w:type="dxa"/>
            <w:shd w:val="clear" w:color="000000" w:fill="DBE4ED"/>
            <w:noWrap/>
            <w:vAlign w:val="bottom"/>
          </w:tcPr>
          <w:p w14:paraId="0C858DC3" w14:textId="7D05FE88" w:rsidR="00980C32" w:rsidRPr="001C4B5B" w:rsidRDefault="00980C32" w:rsidP="00980C32">
            <w:pPr>
              <w:spacing w:after="0" w:line="240" w:lineRule="auto"/>
              <w:rPr>
                <w:rFonts w:asciiTheme="minorHAnsi" w:eastAsia="Times New Roman" w:hAnsiTheme="minorHAnsi" w:cstheme="minorHAnsi"/>
                <w:color w:val="000000"/>
                <w:sz w:val="20"/>
                <w:szCs w:val="20"/>
                <w:lang w:eastAsia="en-US"/>
              </w:rPr>
            </w:pPr>
            <w:r w:rsidRPr="001C4B5B">
              <w:rPr>
                <w:rFonts w:asciiTheme="minorHAnsi" w:hAnsiTheme="minorHAnsi" w:cstheme="minorHAnsi"/>
                <w:color w:val="000000"/>
                <w:sz w:val="20"/>
                <w:szCs w:val="20"/>
              </w:rPr>
              <w:t>CVA, late effect, unspecific</w:t>
            </w:r>
          </w:p>
        </w:tc>
        <w:tc>
          <w:tcPr>
            <w:tcW w:w="1260" w:type="dxa"/>
            <w:shd w:val="clear" w:color="000000" w:fill="DBE4ED"/>
            <w:noWrap/>
            <w:vAlign w:val="center"/>
          </w:tcPr>
          <w:p w14:paraId="7A9C2B15" w14:textId="6BD0FC32" w:rsidR="00980C32" w:rsidRPr="001C4B5B" w:rsidRDefault="00980C32" w:rsidP="00980C32">
            <w:pPr>
              <w:spacing w:after="0" w:line="240" w:lineRule="auto"/>
              <w:jc w:val="center"/>
              <w:rPr>
                <w:rFonts w:asciiTheme="minorHAnsi" w:eastAsia="Times New Roman" w:hAnsiTheme="minorHAnsi" w:cstheme="minorHAnsi"/>
                <w:color w:val="000000"/>
                <w:sz w:val="20"/>
                <w:szCs w:val="20"/>
                <w:lang w:eastAsia="en-US"/>
              </w:rPr>
            </w:pPr>
            <w:r w:rsidRPr="001C4B5B">
              <w:rPr>
                <w:rFonts w:asciiTheme="minorHAnsi" w:hAnsiTheme="minorHAnsi" w:cstheme="minorHAnsi"/>
                <w:color w:val="000000"/>
                <w:sz w:val="20"/>
                <w:szCs w:val="20"/>
              </w:rPr>
              <w:t>4</w:t>
            </w:r>
          </w:p>
        </w:tc>
        <w:tc>
          <w:tcPr>
            <w:tcW w:w="1260" w:type="dxa"/>
            <w:shd w:val="clear" w:color="000000" w:fill="DBE4ED"/>
            <w:noWrap/>
            <w:vAlign w:val="center"/>
          </w:tcPr>
          <w:p w14:paraId="542DBC23" w14:textId="4D1DADDA" w:rsidR="00980C32" w:rsidRPr="001C4B5B" w:rsidRDefault="00980C32" w:rsidP="00980C32">
            <w:pPr>
              <w:spacing w:after="0" w:line="240" w:lineRule="auto"/>
              <w:jc w:val="center"/>
              <w:rPr>
                <w:rFonts w:asciiTheme="minorHAnsi" w:eastAsia="Times New Roman" w:hAnsiTheme="minorHAnsi" w:cstheme="minorHAnsi"/>
                <w:color w:val="000000"/>
                <w:sz w:val="20"/>
                <w:szCs w:val="20"/>
                <w:lang w:eastAsia="en-US"/>
              </w:rPr>
            </w:pPr>
            <w:r w:rsidRPr="001C4B5B">
              <w:rPr>
                <w:rFonts w:asciiTheme="minorHAnsi" w:hAnsiTheme="minorHAnsi" w:cstheme="minorHAnsi"/>
                <w:color w:val="000000"/>
                <w:sz w:val="20"/>
                <w:szCs w:val="20"/>
              </w:rPr>
              <w:t> 0</w:t>
            </w:r>
          </w:p>
        </w:tc>
        <w:tc>
          <w:tcPr>
            <w:tcW w:w="1260" w:type="dxa"/>
            <w:shd w:val="clear" w:color="000000" w:fill="DBE4ED"/>
            <w:noWrap/>
            <w:vAlign w:val="center"/>
          </w:tcPr>
          <w:p w14:paraId="79978020" w14:textId="250EAEA6" w:rsidR="00980C32" w:rsidRPr="001C4B5B" w:rsidRDefault="00980C32" w:rsidP="00980C32">
            <w:pPr>
              <w:spacing w:after="0" w:line="240" w:lineRule="auto"/>
              <w:jc w:val="center"/>
              <w:rPr>
                <w:rFonts w:asciiTheme="minorHAnsi" w:eastAsia="Times New Roman" w:hAnsiTheme="minorHAnsi" w:cstheme="minorHAnsi"/>
                <w:color w:val="000000"/>
                <w:sz w:val="20"/>
                <w:szCs w:val="20"/>
                <w:lang w:eastAsia="en-US"/>
              </w:rPr>
            </w:pPr>
            <w:r w:rsidRPr="001C4B5B">
              <w:rPr>
                <w:rFonts w:asciiTheme="minorHAnsi" w:hAnsiTheme="minorHAnsi" w:cstheme="minorHAnsi"/>
                <w:color w:val="000000"/>
                <w:sz w:val="20"/>
                <w:szCs w:val="20"/>
              </w:rPr>
              <w:t>0</w:t>
            </w:r>
          </w:p>
        </w:tc>
        <w:tc>
          <w:tcPr>
            <w:tcW w:w="1170" w:type="dxa"/>
            <w:shd w:val="clear" w:color="000000" w:fill="DBE4ED"/>
            <w:noWrap/>
            <w:vAlign w:val="center"/>
          </w:tcPr>
          <w:p w14:paraId="441B3DAA" w14:textId="13CC1FE9" w:rsidR="00980C32" w:rsidRPr="001C4B5B" w:rsidRDefault="00980C32" w:rsidP="00980C32">
            <w:pPr>
              <w:spacing w:after="0" w:line="240" w:lineRule="auto"/>
              <w:jc w:val="center"/>
              <w:rPr>
                <w:rFonts w:asciiTheme="minorHAnsi" w:eastAsia="Times New Roman" w:hAnsiTheme="minorHAnsi" w:cstheme="minorHAnsi"/>
                <w:color w:val="000000"/>
                <w:sz w:val="20"/>
                <w:szCs w:val="20"/>
                <w:lang w:eastAsia="en-US"/>
              </w:rPr>
            </w:pPr>
            <w:r w:rsidRPr="001C4B5B">
              <w:rPr>
                <w:rFonts w:asciiTheme="minorHAnsi" w:hAnsiTheme="minorHAnsi" w:cstheme="minorHAnsi"/>
                <w:color w:val="000000"/>
                <w:sz w:val="20"/>
                <w:szCs w:val="20"/>
              </w:rPr>
              <w:t>4</w:t>
            </w:r>
          </w:p>
        </w:tc>
        <w:tc>
          <w:tcPr>
            <w:tcW w:w="1080" w:type="dxa"/>
            <w:shd w:val="clear" w:color="000000" w:fill="DBE4ED"/>
            <w:noWrap/>
            <w:vAlign w:val="center"/>
          </w:tcPr>
          <w:p w14:paraId="64198E47" w14:textId="428EF91B" w:rsidR="00980C32" w:rsidRPr="001C4B5B" w:rsidRDefault="00980C32" w:rsidP="00980C32">
            <w:pPr>
              <w:spacing w:after="0" w:line="240" w:lineRule="auto"/>
              <w:jc w:val="center"/>
              <w:rPr>
                <w:rFonts w:asciiTheme="minorHAnsi" w:eastAsia="Times New Roman" w:hAnsiTheme="minorHAnsi" w:cstheme="minorHAnsi"/>
                <w:color w:val="000000"/>
                <w:sz w:val="20"/>
                <w:szCs w:val="20"/>
                <w:lang w:eastAsia="en-US"/>
              </w:rPr>
            </w:pPr>
            <w:r w:rsidRPr="001C4B5B">
              <w:rPr>
                <w:rFonts w:asciiTheme="minorHAnsi" w:hAnsiTheme="minorHAnsi" w:cstheme="minorHAnsi"/>
                <w:color w:val="000000"/>
                <w:sz w:val="20"/>
                <w:szCs w:val="20"/>
              </w:rPr>
              <w:t>8</w:t>
            </w:r>
          </w:p>
        </w:tc>
      </w:tr>
      <w:tr w:rsidR="00E94F5B" w:rsidRPr="001C4B5B" w14:paraId="0D94E4B8" w14:textId="77777777" w:rsidTr="008D6B43">
        <w:trPr>
          <w:trHeight w:val="288"/>
        </w:trPr>
        <w:tc>
          <w:tcPr>
            <w:tcW w:w="3780" w:type="dxa"/>
            <w:shd w:val="clear" w:color="000000" w:fill="DBE4ED"/>
            <w:noWrap/>
            <w:vAlign w:val="bottom"/>
          </w:tcPr>
          <w:p w14:paraId="5AE4F433" w14:textId="7D60C268" w:rsidR="00980C32" w:rsidRPr="001C4B5B" w:rsidRDefault="00980C32" w:rsidP="00980C32">
            <w:pPr>
              <w:spacing w:after="0" w:line="240" w:lineRule="auto"/>
              <w:rPr>
                <w:rFonts w:asciiTheme="minorHAnsi" w:eastAsia="Times New Roman" w:hAnsiTheme="minorHAnsi" w:cstheme="minorHAnsi"/>
                <w:b/>
                <w:bCs/>
                <w:color w:val="000000"/>
                <w:sz w:val="20"/>
                <w:szCs w:val="20"/>
                <w:lang w:eastAsia="en-US"/>
              </w:rPr>
            </w:pPr>
            <w:r w:rsidRPr="001C4B5B">
              <w:rPr>
                <w:rFonts w:asciiTheme="minorHAnsi" w:hAnsiTheme="minorHAnsi" w:cstheme="minorHAnsi"/>
                <w:color w:val="000000"/>
                <w:sz w:val="20"/>
                <w:szCs w:val="20"/>
              </w:rPr>
              <w:t>Gastritis, unspecific. without haemorrhage</w:t>
            </w:r>
          </w:p>
        </w:tc>
        <w:tc>
          <w:tcPr>
            <w:tcW w:w="1260" w:type="dxa"/>
            <w:shd w:val="clear" w:color="000000" w:fill="DBE4ED"/>
            <w:noWrap/>
            <w:vAlign w:val="center"/>
          </w:tcPr>
          <w:p w14:paraId="1C792272" w14:textId="2E3B3C93" w:rsidR="00980C32" w:rsidRPr="001C4B5B" w:rsidRDefault="00980C32" w:rsidP="00980C32">
            <w:pPr>
              <w:spacing w:after="0" w:line="240" w:lineRule="auto"/>
              <w:jc w:val="center"/>
              <w:rPr>
                <w:rFonts w:asciiTheme="minorHAnsi" w:eastAsia="Times New Roman" w:hAnsiTheme="minorHAnsi" w:cstheme="minorHAnsi"/>
                <w:b/>
                <w:bCs/>
                <w:color w:val="000000"/>
                <w:sz w:val="20"/>
                <w:szCs w:val="20"/>
                <w:lang w:eastAsia="en-US"/>
              </w:rPr>
            </w:pPr>
            <w:r w:rsidRPr="001C4B5B">
              <w:rPr>
                <w:rFonts w:asciiTheme="minorHAnsi" w:hAnsiTheme="minorHAnsi" w:cstheme="minorHAnsi"/>
                <w:color w:val="000000"/>
                <w:sz w:val="20"/>
                <w:szCs w:val="20"/>
              </w:rPr>
              <w:t> 0</w:t>
            </w:r>
          </w:p>
        </w:tc>
        <w:tc>
          <w:tcPr>
            <w:tcW w:w="1260" w:type="dxa"/>
            <w:shd w:val="clear" w:color="000000" w:fill="DBE4ED"/>
            <w:noWrap/>
            <w:vAlign w:val="center"/>
          </w:tcPr>
          <w:p w14:paraId="6E2B21B0" w14:textId="3AB3E404" w:rsidR="00980C32" w:rsidRPr="001C4B5B" w:rsidRDefault="00980C32" w:rsidP="00980C32">
            <w:pPr>
              <w:spacing w:after="0" w:line="240" w:lineRule="auto"/>
              <w:jc w:val="center"/>
              <w:rPr>
                <w:rFonts w:asciiTheme="minorHAnsi" w:eastAsia="Times New Roman" w:hAnsiTheme="minorHAnsi" w:cstheme="minorHAnsi"/>
                <w:b/>
                <w:bCs/>
                <w:color w:val="000000"/>
                <w:sz w:val="20"/>
                <w:szCs w:val="20"/>
                <w:lang w:eastAsia="en-US"/>
              </w:rPr>
            </w:pPr>
            <w:r w:rsidRPr="001C4B5B">
              <w:rPr>
                <w:rFonts w:asciiTheme="minorHAnsi" w:hAnsiTheme="minorHAnsi" w:cstheme="minorHAnsi"/>
                <w:color w:val="000000"/>
                <w:sz w:val="20"/>
                <w:szCs w:val="20"/>
              </w:rPr>
              <w:t> 0</w:t>
            </w:r>
          </w:p>
        </w:tc>
        <w:tc>
          <w:tcPr>
            <w:tcW w:w="1260" w:type="dxa"/>
            <w:shd w:val="clear" w:color="000000" w:fill="DBE4ED"/>
            <w:noWrap/>
            <w:vAlign w:val="center"/>
          </w:tcPr>
          <w:p w14:paraId="07B85893" w14:textId="3F4EEE32" w:rsidR="00980C32" w:rsidRPr="001C4B5B" w:rsidRDefault="00980C32" w:rsidP="00980C32">
            <w:pPr>
              <w:spacing w:after="0" w:line="240" w:lineRule="auto"/>
              <w:jc w:val="center"/>
              <w:rPr>
                <w:rFonts w:asciiTheme="minorHAnsi" w:eastAsia="Times New Roman" w:hAnsiTheme="minorHAnsi" w:cstheme="minorHAnsi"/>
                <w:b/>
                <w:bCs/>
                <w:color w:val="000000"/>
                <w:sz w:val="20"/>
                <w:szCs w:val="20"/>
                <w:lang w:eastAsia="en-US"/>
              </w:rPr>
            </w:pPr>
            <w:r w:rsidRPr="001C4B5B">
              <w:rPr>
                <w:rFonts w:asciiTheme="minorHAnsi" w:hAnsiTheme="minorHAnsi" w:cstheme="minorHAnsi"/>
                <w:color w:val="000000"/>
                <w:sz w:val="20"/>
                <w:szCs w:val="20"/>
              </w:rPr>
              <w:t>0</w:t>
            </w:r>
          </w:p>
        </w:tc>
        <w:tc>
          <w:tcPr>
            <w:tcW w:w="1170" w:type="dxa"/>
            <w:shd w:val="clear" w:color="000000" w:fill="DBE4ED"/>
            <w:noWrap/>
            <w:vAlign w:val="center"/>
          </w:tcPr>
          <w:p w14:paraId="462AA7CA" w14:textId="18F0E1A6" w:rsidR="00980C32" w:rsidRPr="001C4B5B" w:rsidRDefault="00980C32" w:rsidP="00980C32">
            <w:pPr>
              <w:spacing w:after="0" w:line="240" w:lineRule="auto"/>
              <w:jc w:val="center"/>
              <w:rPr>
                <w:rFonts w:asciiTheme="minorHAnsi" w:eastAsia="Times New Roman" w:hAnsiTheme="minorHAnsi" w:cstheme="minorHAnsi"/>
                <w:b/>
                <w:bCs/>
                <w:color w:val="000000"/>
                <w:sz w:val="20"/>
                <w:szCs w:val="20"/>
                <w:lang w:eastAsia="en-US"/>
              </w:rPr>
            </w:pPr>
            <w:r w:rsidRPr="001C4B5B">
              <w:rPr>
                <w:rFonts w:asciiTheme="minorHAnsi" w:hAnsiTheme="minorHAnsi" w:cstheme="minorHAnsi"/>
                <w:color w:val="000000"/>
                <w:sz w:val="20"/>
                <w:szCs w:val="20"/>
              </w:rPr>
              <w:t>6</w:t>
            </w:r>
          </w:p>
        </w:tc>
        <w:tc>
          <w:tcPr>
            <w:tcW w:w="1080" w:type="dxa"/>
            <w:shd w:val="clear" w:color="000000" w:fill="DBE4ED"/>
            <w:vAlign w:val="center"/>
          </w:tcPr>
          <w:p w14:paraId="6D73C68C" w14:textId="01F74812" w:rsidR="00980C32" w:rsidRPr="001C4B5B" w:rsidRDefault="00980C32" w:rsidP="00980C32">
            <w:pPr>
              <w:spacing w:after="0" w:line="240" w:lineRule="auto"/>
              <w:jc w:val="center"/>
              <w:rPr>
                <w:rFonts w:asciiTheme="minorHAnsi" w:eastAsia="Times New Roman" w:hAnsiTheme="minorHAnsi" w:cstheme="minorHAnsi"/>
                <w:b/>
                <w:bCs/>
                <w:color w:val="000000"/>
                <w:sz w:val="20"/>
                <w:szCs w:val="20"/>
                <w:lang w:eastAsia="en-US"/>
              </w:rPr>
            </w:pPr>
            <w:r w:rsidRPr="001C4B5B">
              <w:rPr>
                <w:rFonts w:asciiTheme="minorHAnsi" w:hAnsiTheme="minorHAnsi" w:cstheme="minorHAnsi"/>
                <w:color w:val="000000"/>
                <w:sz w:val="20"/>
                <w:szCs w:val="20"/>
              </w:rPr>
              <w:t>6</w:t>
            </w:r>
          </w:p>
        </w:tc>
      </w:tr>
      <w:tr w:rsidR="00980C32" w:rsidRPr="001C4B5B" w14:paraId="5927A21D" w14:textId="77777777" w:rsidTr="008D6B43">
        <w:trPr>
          <w:trHeight w:val="288"/>
        </w:trPr>
        <w:tc>
          <w:tcPr>
            <w:tcW w:w="3780" w:type="dxa"/>
            <w:shd w:val="clear" w:color="000000" w:fill="DBE4ED"/>
            <w:noWrap/>
            <w:vAlign w:val="center"/>
          </w:tcPr>
          <w:p w14:paraId="24172410" w14:textId="195E739F" w:rsidR="00980C32" w:rsidRPr="001C4B5B" w:rsidRDefault="00980C32" w:rsidP="00980C32">
            <w:pPr>
              <w:spacing w:after="0" w:line="240" w:lineRule="auto"/>
              <w:rPr>
                <w:rFonts w:asciiTheme="minorHAnsi" w:eastAsia="Times New Roman" w:hAnsiTheme="minorHAnsi" w:cstheme="minorHAnsi"/>
                <w:color w:val="000000"/>
                <w:sz w:val="20"/>
                <w:szCs w:val="20"/>
                <w:lang w:eastAsia="en-US"/>
              </w:rPr>
            </w:pPr>
            <w:r w:rsidRPr="001C4B5B">
              <w:rPr>
                <w:rFonts w:asciiTheme="minorHAnsi" w:eastAsia="Times New Roman" w:hAnsiTheme="minorHAnsi" w:cstheme="minorHAnsi"/>
                <w:color w:val="000000"/>
                <w:sz w:val="20"/>
                <w:szCs w:val="20"/>
                <w:lang w:eastAsia="en-US"/>
              </w:rPr>
              <w:t>All other Diagnoses</w:t>
            </w:r>
          </w:p>
        </w:tc>
        <w:tc>
          <w:tcPr>
            <w:tcW w:w="1260" w:type="dxa"/>
            <w:shd w:val="clear" w:color="000000" w:fill="DBE4ED"/>
            <w:noWrap/>
            <w:vAlign w:val="bottom"/>
          </w:tcPr>
          <w:p w14:paraId="26CF3CA7" w14:textId="411AF2D3" w:rsidR="00980C32" w:rsidRPr="001C4B5B" w:rsidRDefault="00980C32" w:rsidP="00980C32">
            <w:pPr>
              <w:spacing w:after="0" w:line="240" w:lineRule="auto"/>
              <w:jc w:val="center"/>
              <w:rPr>
                <w:rFonts w:asciiTheme="minorHAnsi" w:eastAsia="Times New Roman" w:hAnsiTheme="minorHAnsi" w:cstheme="minorHAnsi"/>
                <w:color w:val="000000"/>
                <w:sz w:val="20"/>
                <w:szCs w:val="20"/>
                <w:lang w:eastAsia="en-US"/>
              </w:rPr>
            </w:pPr>
            <w:r w:rsidRPr="001C4B5B">
              <w:rPr>
                <w:rFonts w:asciiTheme="minorHAnsi" w:hAnsiTheme="minorHAnsi" w:cstheme="minorHAnsi"/>
                <w:color w:val="000000"/>
                <w:sz w:val="20"/>
                <w:szCs w:val="20"/>
              </w:rPr>
              <w:t>13</w:t>
            </w:r>
          </w:p>
        </w:tc>
        <w:tc>
          <w:tcPr>
            <w:tcW w:w="1260" w:type="dxa"/>
            <w:shd w:val="clear" w:color="000000" w:fill="DBE4ED"/>
            <w:noWrap/>
            <w:vAlign w:val="bottom"/>
          </w:tcPr>
          <w:p w14:paraId="7756870A" w14:textId="41E25681" w:rsidR="00980C32" w:rsidRPr="001C4B5B" w:rsidRDefault="00980C32" w:rsidP="00980C32">
            <w:pPr>
              <w:spacing w:after="0" w:line="240" w:lineRule="auto"/>
              <w:jc w:val="center"/>
              <w:rPr>
                <w:rFonts w:asciiTheme="minorHAnsi" w:eastAsia="Times New Roman" w:hAnsiTheme="minorHAnsi" w:cstheme="minorHAnsi"/>
                <w:color w:val="000000"/>
                <w:sz w:val="20"/>
                <w:szCs w:val="20"/>
                <w:lang w:eastAsia="en-US"/>
              </w:rPr>
            </w:pPr>
            <w:r w:rsidRPr="001C4B5B">
              <w:rPr>
                <w:rFonts w:asciiTheme="minorHAnsi" w:hAnsiTheme="minorHAnsi" w:cstheme="minorHAnsi"/>
                <w:color w:val="000000"/>
                <w:sz w:val="20"/>
                <w:szCs w:val="20"/>
              </w:rPr>
              <w:t>3</w:t>
            </w:r>
          </w:p>
        </w:tc>
        <w:tc>
          <w:tcPr>
            <w:tcW w:w="1260" w:type="dxa"/>
            <w:shd w:val="clear" w:color="000000" w:fill="DBE4ED"/>
            <w:noWrap/>
            <w:vAlign w:val="bottom"/>
          </w:tcPr>
          <w:p w14:paraId="4D878990" w14:textId="666B57EC" w:rsidR="00980C32" w:rsidRPr="001C4B5B" w:rsidRDefault="00980C32" w:rsidP="00980C32">
            <w:pPr>
              <w:spacing w:after="0" w:line="240" w:lineRule="auto"/>
              <w:jc w:val="center"/>
              <w:rPr>
                <w:rFonts w:asciiTheme="minorHAnsi" w:eastAsia="Times New Roman" w:hAnsiTheme="minorHAnsi" w:cstheme="minorHAnsi"/>
                <w:color w:val="000000"/>
                <w:sz w:val="20"/>
                <w:szCs w:val="20"/>
                <w:lang w:eastAsia="en-US"/>
              </w:rPr>
            </w:pPr>
            <w:r w:rsidRPr="001C4B5B">
              <w:rPr>
                <w:rFonts w:asciiTheme="minorHAnsi" w:hAnsiTheme="minorHAnsi" w:cstheme="minorHAnsi"/>
                <w:color w:val="000000"/>
                <w:sz w:val="20"/>
                <w:szCs w:val="20"/>
              </w:rPr>
              <w:t>2</w:t>
            </w:r>
          </w:p>
        </w:tc>
        <w:tc>
          <w:tcPr>
            <w:tcW w:w="1170" w:type="dxa"/>
            <w:shd w:val="clear" w:color="000000" w:fill="DBE4ED"/>
            <w:noWrap/>
            <w:vAlign w:val="bottom"/>
          </w:tcPr>
          <w:p w14:paraId="63B527C3" w14:textId="3F18D858" w:rsidR="00980C32" w:rsidRPr="001C4B5B" w:rsidRDefault="00980C32" w:rsidP="00980C32">
            <w:pPr>
              <w:spacing w:after="0" w:line="240" w:lineRule="auto"/>
              <w:jc w:val="center"/>
              <w:rPr>
                <w:rFonts w:asciiTheme="minorHAnsi" w:eastAsia="Times New Roman" w:hAnsiTheme="minorHAnsi" w:cstheme="minorHAnsi"/>
                <w:color w:val="000000"/>
                <w:sz w:val="20"/>
                <w:szCs w:val="20"/>
                <w:lang w:eastAsia="en-US"/>
              </w:rPr>
            </w:pPr>
            <w:r w:rsidRPr="001C4B5B">
              <w:rPr>
                <w:rFonts w:asciiTheme="minorHAnsi" w:hAnsiTheme="minorHAnsi" w:cstheme="minorHAnsi"/>
                <w:color w:val="000000"/>
                <w:sz w:val="20"/>
                <w:szCs w:val="20"/>
              </w:rPr>
              <w:t>62</w:t>
            </w:r>
          </w:p>
        </w:tc>
        <w:tc>
          <w:tcPr>
            <w:tcW w:w="1080" w:type="dxa"/>
            <w:shd w:val="clear" w:color="000000" w:fill="DBE4ED"/>
            <w:vAlign w:val="center"/>
          </w:tcPr>
          <w:p w14:paraId="37C34480" w14:textId="2B20A15E" w:rsidR="00980C32" w:rsidRPr="001C4B5B" w:rsidRDefault="00980C32" w:rsidP="00980C32">
            <w:pPr>
              <w:spacing w:after="0" w:line="240" w:lineRule="auto"/>
              <w:jc w:val="center"/>
              <w:rPr>
                <w:rFonts w:asciiTheme="minorHAnsi" w:eastAsia="Times New Roman" w:hAnsiTheme="minorHAnsi" w:cstheme="minorHAnsi"/>
                <w:color w:val="000000"/>
                <w:sz w:val="20"/>
                <w:szCs w:val="20"/>
                <w:lang w:eastAsia="en-US"/>
              </w:rPr>
            </w:pPr>
            <w:r w:rsidRPr="001C4B5B">
              <w:rPr>
                <w:rFonts w:asciiTheme="minorHAnsi" w:eastAsia="Times New Roman" w:hAnsiTheme="minorHAnsi" w:cstheme="minorHAnsi"/>
                <w:color w:val="000000"/>
                <w:sz w:val="20"/>
                <w:szCs w:val="20"/>
                <w:lang w:eastAsia="en-US"/>
              </w:rPr>
              <w:t>80</w:t>
            </w:r>
          </w:p>
        </w:tc>
      </w:tr>
      <w:tr w:rsidR="00980C32" w:rsidRPr="001C4B5B" w14:paraId="7F2C1F46" w14:textId="77777777" w:rsidTr="008D6B43">
        <w:trPr>
          <w:trHeight w:val="288"/>
        </w:trPr>
        <w:tc>
          <w:tcPr>
            <w:tcW w:w="3780" w:type="dxa"/>
            <w:shd w:val="clear" w:color="000000" w:fill="DBE4ED"/>
            <w:noWrap/>
            <w:vAlign w:val="center"/>
          </w:tcPr>
          <w:p w14:paraId="1D70410A" w14:textId="347ACB13" w:rsidR="00980C32" w:rsidRPr="001C4B5B" w:rsidRDefault="00980C32" w:rsidP="00980C32">
            <w:pPr>
              <w:spacing w:after="0" w:line="240" w:lineRule="auto"/>
              <w:rPr>
                <w:rFonts w:asciiTheme="minorHAnsi" w:eastAsia="Times New Roman" w:hAnsiTheme="minorHAnsi" w:cstheme="minorHAnsi"/>
                <w:b/>
                <w:bCs/>
                <w:color w:val="000000"/>
                <w:sz w:val="20"/>
                <w:szCs w:val="20"/>
                <w:lang w:eastAsia="en-US"/>
              </w:rPr>
            </w:pPr>
            <w:r w:rsidRPr="001C4B5B">
              <w:rPr>
                <w:rFonts w:asciiTheme="minorHAnsi" w:eastAsia="Times New Roman" w:hAnsiTheme="minorHAnsi" w:cstheme="minorHAnsi"/>
                <w:b/>
                <w:bCs/>
                <w:color w:val="000000"/>
                <w:sz w:val="20"/>
                <w:szCs w:val="20"/>
                <w:lang w:eastAsia="en-US"/>
              </w:rPr>
              <w:t>Total</w:t>
            </w:r>
          </w:p>
        </w:tc>
        <w:tc>
          <w:tcPr>
            <w:tcW w:w="1260" w:type="dxa"/>
            <w:shd w:val="clear" w:color="000000" w:fill="DBE4ED"/>
            <w:noWrap/>
            <w:vAlign w:val="bottom"/>
          </w:tcPr>
          <w:p w14:paraId="767BCBFC" w14:textId="30D1EC09" w:rsidR="00980C32" w:rsidRPr="001C4B5B" w:rsidRDefault="00980C32" w:rsidP="00980C32">
            <w:pPr>
              <w:spacing w:after="0" w:line="240" w:lineRule="auto"/>
              <w:jc w:val="center"/>
              <w:rPr>
                <w:rFonts w:asciiTheme="minorHAnsi" w:hAnsiTheme="minorHAnsi" w:cstheme="minorHAnsi"/>
                <w:b/>
                <w:bCs/>
                <w:color w:val="000000"/>
                <w:sz w:val="20"/>
                <w:szCs w:val="20"/>
              </w:rPr>
            </w:pPr>
            <w:r w:rsidRPr="001C4B5B">
              <w:rPr>
                <w:rFonts w:asciiTheme="minorHAnsi" w:hAnsiTheme="minorHAnsi" w:cstheme="minorHAnsi"/>
                <w:b/>
                <w:bCs/>
                <w:color w:val="000000"/>
                <w:sz w:val="20"/>
                <w:szCs w:val="20"/>
              </w:rPr>
              <w:fldChar w:fldCharType="begin"/>
            </w:r>
            <w:r w:rsidRPr="001C4B5B">
              <w:rPr>
                <w:rFonts w:asciiTheme="minorHAnsi" w:hAnsiTheme="minorHAnsi" w:cstheme="minorHAnsi"/>
                <w:b/>
                <w:bCs/>
                <w:color w:val="000000"/>
                <w:sz w:val="20"/>
                <w:szCs w:val="20"/>
              </w:rPr>
              <w:instrText xml:space="preserve"> =SUM(ABOVE) </w:instrText>
            </w:r>
            <w:r w:rsidRPr="001C4B5B">
              <w:rPr>
                <w:rFonts w:asciiTheme="minorHAnsi" w:hAnsiTheme="minorHAnsi" w:cstheme="minorHAnsi"/>
                <w:b/>
                <w:bCs/>
                <w:color w:val="000000"/>
                <w:sz w:val="20"/>
                <w:szCs w:val="20"/>
              </w:rPr>
              <w:fldChar w:fldCharType="separate"/>
            </w:r>
            <w:r w:rsidRPr="001C4B5B">
              <w:rPr>
                <w:rFonts w:asciiTheme="minorHAnsi" w:hAnsiTheme="minorHAnsi" w:cstheme="minorHAnsi"/>
                <w:b/>
                <w:bCs/>
                <w:noProof/>
                <w:color w:val="000000"/>
                <w:sz w:val="20"/>
                <w:szCs w:val="20"/>
              </w:rPr>
              <w:t>42</w:t>
            </w:r>
            <w:r w:rsidRPr="001C4B5B">
              <w:rPr>
                <w:rFonts w:asciiTheme="minorHAnsi" w:hAnsiTheme="minorHAnsi" w:cstheme="minorHAnsi"/>
                <w:b/>
                <w:bCs/>
                <w:color w:val="000000"/>
                <w:sz w:val="20"/>
                <w:szCs w:val="20"/>
              </w:rPr>
              <w:fldChar w:fldCharType="end"/>
            </w:r>
          </w:p>
        </w:tc>
        <w:tc>
          <w:tcPr>
            <w:tcW w:w="1260" w:type="dxa"/>
            <w:shd w:val="clear" w:color="000000" w:fill="DBE4ED"/>
            <w:noWrap/>
            <w:vAlign w:val="bottom"/>
          </w:tcPr>
          <w:p w14:paraId="064D7AF6" w14:textId="5F3B835B" w:rsidR="00980C32" w:rsidRPr="001C4B5B" w:rsidRDefault="00980C32" w:rsidP="00980C32">
            <w:pPr>
              <w:spacing w:after="0" w:line="240" w:lineRule="auto"/>
              <w:jc w:val="center"/>
              <w:rPr>
                <w:rFonts w:asciiTheme="minorHAnsi" w:hAnsiTheme="minorHAnsi" w:cstheme="minorHAnsi"/>
                <w:b/>
                <w:bCs/>
                <w:color w:val="000000"/>
                <w:sz w:val="20"/>
                <w:szCs w:val="20"/>
              </w:rPr>
            </w:pPr>
            <w:r w:rsidRPr="001C4B5B">
              <w:rPr>
                <w:rFonts w:asciiTheme="minorHAnsi" w:hAnsiTheme="minorHAnsi" w:cstheme="minorHAnsi"/>
                <w:b/>
                <w:bCs/>
                <w:color w:val="000000"/>
                <w:sz w:val="20"/>
                <w:szCs w:val="20"/>
              </w:rPr>
              <w:fldChar w:fldCharType="begin"/>
            </w:r>
            <w:r w:rsidRPr="001C4B5B">
              <w:rPr>
                <w:rFonts w:asciiTheme="minorHAnsi" w:hAnsiTheme="minorHAnsi" w:cstheme="minorHAnsi"/>
                <w:b/>
                <w:bCs/>
                <w:color w:val="000000"/>
                <w:sz w:val="20"/>
                <w:szCs w:val="20"/>
              </w:rPr>
              <w:instrText xml:space="preserve"> =SUM(ABOVE) </w:instrText>
            </w:r>
            <w:r w:rsidRPr="001C4B5B">
              <w:rPr>
                <w:rFonts w:asciiTheme="minorHAnsi" w:hAnsiTheme="minorHAnsi" w:cstheme="minorHAnsi"/>
                <w:b/>
                <w:bCs/>
                <w:color w:val="000000"/>
                <w:sz w:val="20"/>
                <w:szCs w:val="20"/>
              </w:rPr>
              <w:fldChar w:fldCharType="separate"/>
            </w:r>
            <w:r w:rsidRPr="001C4B5B">
              <w:rPr>
                <w:rFonts w:asciiTheme="minorHAnsi" w:hAnsiTheme="minorHAnsi" w:cstheme="minorHAnsi"/>
                <w:b/>
                <w:bCs/>
                <w:noProof/>
                <w:color w:val="000000"/>
                <w:sz w:val="20"/>
                <w:szCs w:val="20"/>
              </w:rPr>
              <w:t>5</w:t>
            </w:r>
            <w:r w:rsidRPr="001C4B5B">
              <w:rPr>
                <w:rFonts w:asciiTheme="minorHAnsi" w:hAnsiTheme="minorHAnsi" w:cstheme="minorHAnsi"/>
                <w:b/>
                <w:bCs/>
                <w:color w:val="000000"/>
                <w:sz w:val="20"/>
                <w:szCs w:val="20"/>
              </w:rPr>
              <w:fldChar w:fldCharType="end"/>
            </w:r>
          </w:p>
        </w:tc>
        <w:tc>
          <w:tcPr>
            <w:tcW w:w="1260" w:type="dxa"/>
            <w:shd w:val="clear" w:color="000000" w:fill="DBE4ED"/>
            <w:noWrap/>
            <w:vAlign w:val="bottom"/>
          </w:tcPr>
          <w:p w14:paraId="6572DEF2" w14:textId="2B6F6692" w:rsidR="00980C32" w:rsidRPr="001C4B5B" w:rsidRDefault="00980C32" w:rsidP="00980C32">
            <w:pPr>
              <w:spacing w:after="0" w:line="240" w:lineRule="auto"/>
              <w:jc w:val="center"/>
              <w:rPr>
                <w:rFonts w:asciiTheme="minorHAnsi" w:hAnsiTheme="minorHAnsi" w:cstheme="minorHAnsi"/>
                <w:b/>
                <w:bCs/>
                <w:color w:val="000000"/>
                <w:sz w:val="20"/>
                <w:szCs w:val="20"/>
              </w:rPr>
            </w:pPr>
            <w:r w:rsidRPr="001C4B5B">
              <w:rPr>
                <w:rFonts w:asciiTheme="minorHAnsi" w:hAnsiTheme="minorHAnsi" w:cstheme="minorHAnsi"/>
                <w:b/>
                <w:bCs/>
                <w:color w:val="000000"/>
                <w:sz w:val="20"/>
                <w:szCs w:val="20"/>
              </w:rPr>
              <w:fldChar w:fldCharType="begin"/>
            </w:r>
            <w:r w:rsidRPr="001C4B5B">
              <w:rPr>
                <w:rFonts w:asciiTheme="minorHAnsi" w:hAnsiTheme="minorHAnsi" w:cstheme="minorHAnsi"/>
                <w:b/>
                <w:bCs/>
                <w:color w:val="000000"/>
                <w:sz w:val="20"/>
                <w:szCs w:val="20"/>
              </w:rPr>
              <w:instrText xml:space="preserve"> =SUM(ABOVE) </w:instrText>
            </w:r>
            <w:r w:rsidRPr="001C4B5B">
              <w:rPr>
                <w:rFonts w:asciiTheme="minorHAnsi" w:hAnsiTheme="minorHAnsi" w:cstheme="minorHAnsi"/>
                <w:b/>
                <w:bCs/>
                <w:color w:val="000000"/>
                <w:sz w:val="20"/>
                <w:szCs w:val="20"/>
              </w:rPr>
              <w:fldChar w:fldCharType="separate"/>
            </w:r>
            <w:r w:rsidRPr="001C4B5B">
              <w:rPr>
                <w:rFonts w:asciiTheme="minorHAnsi" w:hAnsiTheme="minorHAnsi" w:cstheme="minorHAnsi"/>
                <w:b/>
                <w:bCs/>
                <w:noProof/>
                <w:color w:val="000000"/>
                <w:sz w:val="20"/>
                <w:szCs w:val="20"/>
              </w:rPr>
              <w:t>4</w:t>
            </w:r>
            <w:r w:rsidRPr="001C4B5B">
              <w:rPr>
                <w:rFonts w:asciiTheme="minorHAnsi" w:hAnsiTheme="minorHAnsi" w:cstheme="minorHAnsi"/>
                <w:b/>
                <w:bCs/>
                <w:color w:val="000000"/>
                <w:sz w:val="20"/>
                <w:szCs w:val="20"/>
              </w:rPr>
              <w:fldChar w:fldCharType="end"/>
            </w:r>
          </w:p>
        </w:tc>
        <w:tc>
          <w:tcPr>
            <w:tcW w:w="1170" w:type="dxa"/>
            <w:shd w:val="clear" w:color="000000" w:fill="DBE4ED"/>
            <w:noWrap/>
            <w:vAlign w:val="bottom"/>
          </w:tcPr>
          <w:p w14:paraId="02DFD0DF" w14:textId="74D414DE" w:rsidR="00980C32" w:rsidRPr="001C4B5B" w:rsidRDefault="00980C32" w:rsidP="00980C32">
            <w:pPr>
              <w:spacing w:after="0" w:line="240" w:lineRule="auto"/>
              <w:jc w:val="center"/>
              <w:rPr>
                <w:rFonts w:asciiTheme="minorHAnsi" w:hAnsiTheme="minorHAnsi" w:cstheme="minorHAnsi"/>
                <w:b/>
                <w:bCs/>
                <w:color w:val="000000"/>
                <w:sz w:val="20"/>
                <w:szCs w:val="20"/>
              </w:rPr>
            </w:pPr>
            <w:r w:rsidRPr="001C4B5B">
              <w:rPr>
                <w:rFonts w:asciiTheme="minorHAnsi" w:hAnsiTheme="minorHAnsi" w:cstheme="minorHAnsi"/>
                <w:b/>
                <w:bCs/>
                <w:color w:val="000000"/>
                <w:sz w:val="20"/>
                <w:szCs w:val="20"/>
              </w:rPr>
              <w:fldChar w:fldCharType="begin"/>
            </w:r>
            <w:r w:rsidRPr="001C4B5B">
              <w:rPr>
                <w:rFonts w:asciiTheme="minorHAnsi" w:hAnsiTheme="minorHAnsi" w:cstheme="minorHAnsi"/>
                <w:b/>
                <w:bCs/>
                <w:color w:val="000000"/>
                <w:sz w:val="20"/>
                <w:szCs w:val="20"/>
              </w:rPr>
              <w:instrText xml:space="preserve"> =SUM(ABOVE) </w:instrText>
            </w:r>
            <w:r w:rsidRPr="001C4B5B">
              <w:rPr>
                <w:rFonts w:asciiTheme="minorHAnsi" w:hAnsiTheme="minorHAnsi" w:cstheme="minorHAnsi"/>
                <w:b/>
                <w:bCs/>
                <w:color w:val="000000"/>
                <w:sz w:val="20"/>
                <w:szCs w:val="20"/>
              </w:rPr>
              <w:fldChar w:fldCharType="separate"/>
            </w:r>
            <w:r w:rsidRPr="001C4B5B">
              <w:rPr>
                <w:rFonts w:asciiTheme="minorHAnsi" w:hAnsiTheme="minorHAnsi" w:cstheme="minorHAnsi"/>
                <w:b/>
                <w:bCs/>
                <w:noProof/>
                <w:color w:val="000000"/>
                <w:sz w:val="20"/>
                <w:szCs w:val="20"/>
              </w:rPr>
              <w:t>218</w:t>
            </w:r>
            <w:r w:rsidRPr="001C4B5B">
              <w:rPr>
                <w:rFonts w:asciiTheme="minorHAnsi" w:hAnsiTheme="minorHAnsi" w:cstheme="minorHAnsi"/>
                <w:b/>
                <w:bCs/>
                <w:color w:val="000000"/>
                <w:sz w:val="20"/>
                <w:szCs w:val="20"/>
              </w:rPr>
              <w:fldChar w:fldCharType="end"/>
            </w:r>
          </w:p>
        </w:tc>
        <w:tc>
          <w:tcPr>
            <w:tcW w:w="1080" w:type="dxa"/>
            <w:shd w:val="clear" w:color="000000" w:fill="DBE4ED"/>
            <w:vAlign w:val="center"/>
          </w:tcPr>
          <w:p w14:paraId="5F5C9E27" w14:textId="6F6B10A2" w:rsidR="00980C32" w:rsidRPr="001C4B5B" w:rsidRDefault="00980C32" w:rsidP="00980C32">
            <w:pPr>
              <w:spacing w:after="0" w:line="240" w:lineRule="auto"/>
              <w:jc w:val="center"/>
              <w:rPr>
                <w:rFonts w:asciiTheme="minorHAnsi" w:eastAsia="Times New Roman" w:hAnsiTheme="minorHAnsi" w:cstheme="minorHAnsi"/>
                <w:b/>
                <w:bCs/>
                <w:color w:val="000000"/>
                <w:sz w:val="20"/>
                <w:szCs w:val="20"/>
                <w:lang w:eastAsia="en-US"/>
              </w:rPr>
            </w:pPr>
            <w:r w:rsidRPr="001C4B5B">
              <w:rPr>
                <w:rFonts w:asciiTheme="minorHAnsi" w:eastAsia="Times New Roman" w:hAnsiTheme="minorHAnsi" w:cstheme="minorHAnsi"/>
                <w:b/>
                <w:bCs/>
                <w:color w:val="000000"/>
                <w:sz w:val="20"/>
                <w:szCs w:val="20"/>
                <w:lang w:eastAsia="en-US"/>
              </w:rPr>
              <w:fldChar w:fldCharType="begin"/>
            </w:r>
            <w:r w:rsidRPr="001C4B5B">
              <w:rPr>
                <w:rFonts w:asciiTheme="minorHAnsi" w:eastAsia="Times New Roman" w:hAnsiTheme="minorHAnsi" w:cstheme="minorHAnsi"/>
                <w:b/>
                <w:bCs/>
                <w:color w:val="000000"/>
                <w:sz w:val="20"/>
                <w:szCs w:val="20"/>
                <w:lang w:eastAsia="en-US"/>
              </w:rPr>
              <w:instrText xml:space="preserve"> =SUM(ABOVE) </w:instrText>
            </w:r>
            <w:r w:rsidRPr="001C4B5B">
              <w:rPr>
                <w:rFonts w:asciiTheme="minorHAnsi" w:eastAsia="Times New Roman" w:hAnsiTheme="minorHAnsi" w:cstheme="minorHAnsi"/>
                <w:b/>
                <w:bCs/>
                <w:color w:val="000000"/>
                <w:sz w:val="20"/>
                <w:szCs w:val="20"/>
                <w:lang w:eastAsia="en-US"/>
              </w:rPr>
              <w:fldChar w:fldCharType="separate"/>
            </w:r>
            <w:r w:rsidRPr="001C4B5B">
              <w:rPr>
                <w:rFonts w:asciiTheme="minorHAnsi" w:eastAsia="Times New Roman" w:hAnsiTheme="minorHAnsi" w:cstheme="minorHAnsi"/>
                <w:b/>
                <w:bCs/>
                <w:noProof/>
                <w:color w:val="000000"/>
                <w:sz w:val="20"/>
                <w:szCs w:val="20"/>
                <w:lang w:eastAsia="en-US"/>
              </w:rPr>
              <w:t>269</w:t>
            </w:r>
            <w:r w:rsidRPr="001C4B5B">
              <w:rPr>
                <w:rFonts w:asciiTheme="minorHAnsi" w:eastAsia="Times New Roman" w:hAnsiTheme="minorHAnsi" w:cstheme="minorHAnsi"/>
                <w:b/>
                <w:bCs/>
                <w:color w:val="000000"/>
                <w:sz w:val="20"/>
                <w:szCs w:val="20"/>
                <w:lang w:eastAsia="en-US"/>
              </w:rPr>
              <w:fldChar w:fldCharType="end"/>
            </w:r>
          </w:p>
        </w:tc>
      </w:tr>
      <w:tr w:rsidR="00CB75B8" w:rsidRPr="001C4B5B" w14:paraId="572B4E9E" w14:textId="77777777" w:rsidTr="008D6B43">
        <w:trPr>
          <w:trHeight w:val="288"/>
        </w:trPr>
        <w:tc>
          <w:tcPr>
            <w:tcW w:w="3780" w:type="dxa"/>
            <w:shd w:val="clear" w:color="000000" w:fill="DBE4ED"/>
            <w:noWrap/>
            <w:vAlign w:val="center"/>
          </w:tcPr>
          <w:p w14:paraId="52ACFB55" w14:textId="77777777" w:rsidR="00CB75B8" w:rsidRPr="001C4B5B" w:rsidRDefault="00CB75B8" w:rsidP="00980C32">
            <w:pPr>
              <w:spacing w:after="0" w:line="240" w:lineRule="auto"/>
              <w:rPr>
                <w:rFonts w:asciiTheme="minorHAnsi" w:eastAsia="Times New Roman" w:hAnsiTheme="minorHAnsi" w:cstheme="minorHAnsi"/>
                <w:b/>
                <w:bCs/>
                <w:color w:val="000000"/>
                <w:sz w:val="20"/>
                <w:szCs w:val="20"/>
                <w:lang w:eastAsia="en-US"/>
              </w:rPr>
            </w:pPr>
          </w:p>
        </w:tc>
        <w:tc>
          <w:tcPr>
            <w:tcW w:w="2520" w:type="dxa"/>
            <w:gridSpan w:val="2"/>
            <w:shd w:val="clear" w:color="000000" w:fill="DBE4ED"/>
            <w:noWrap/>
            <w:vAlign w:val="bottom"/>
          </w:tcPr>
          <w:p w14:paraId="2502E811" w14:textId="277670A5" w:rsidR="00CB75B8" w:rsidRPr="001C4B5B" w:rsidRDefault="00CB75B8" w:rsidP="00980C32">
            <w:pPr>
              <w:spacing w:after="0" w:line="240" w:lineRule="auto"/>
              <w:jc w:val="center"/>
              <w:rPr>
                <w:rFonts w:asciiTheme="minorHAnsi" w:hAnsiTheme="minorHAnsi" w:cstheme="minorHAnsi"/>
                <w:b/>
                <w:bCs/>
                <w:color w:val="000000"/>
                <w:sz w:val="20"/>
                <w:szCs w:val="20"/>
              </w:rPr>
            </w:pPr>
            <w:r w:rsidRPr="001C4B5B">
              <w:rPr>
                <w:rFonts w:asciiTheme="minorHAnsi" w:hAnsiTheme="minorHAnsi" w:cstheme="minorHAnsi"/>
                <w:b/>
                <w:bCs/>
                <w:color w:val="000000"/>
                <w:sz w:val="20"/>
                <w:szCs w:val="20"/>
              </w:rPr>
              <w:t>47 (17%)</w:t>
            </w:r>
          </w:p>
        </w:tc>
        <w:tc>
          <w:tcPr>
            <w:tcW w:w="2430" w:type="dxa"/>
            <w:gridSpan w:val="2"/>
            <w:shd w:val="clear" w:color="000000" w:fill="DBE4ED"/>
            <w:noWrap/>
            <w:vAlign w:val="bottom"/>
          </w:tcPr>
          <w:p w14:paraId="044B6D49" w14:textId="175E5C35" w:rsidR="00CB75B8" w:rsidRPr="001C4B5B" w:rsidRDefault="00CB75B8" w:rsidP="00980C32">
            <w:pPr>
              <w:spacing w:after="0" w:line="240" w:lineRule="auto"/>
              <w:jc w:val="center"/>
              <w:rPr>
                <w:rFonts w:asciiTheme="minorHAnsi" w:hAnsiTheme="minorHAnsi" w:cstheme="minorHAnsi"/>
                <w:b/>
                <w:bCs/>
                <w:color w:val="000000"/>
                <w:sz w:val="20"/>
                <w:szCs w:val="20"/>
              </w:rPr>
            </w:pPr>
            <w:r w:rsidRPr="001C4B5B">
              <w:rPr>
                <w:rFonts w:asciiTheme="minorHAnsi" w:hAnsiTheme="minorHAnsi" w:cstheme="minorHAnsi"/>
                <w:b/>
                <w:bCs/>
                <w:color w:val="000000"/>
                <w:sz w:val="20"/>
                <w:szCs w:val="20"/>
              </w:rPr>
              <w:t>222 (83%)</w:t>
            </w:r>
          </w:p>
        </w:tc>
        <w:tc>
          <w:tcPr>
            <w:tcW w:w="1080" w:type="dxa"/>
            <w:shd w:val="clear" w:color="000000" w:fill="DBE4ED"/>
            <w:vAlign w:val="center"/>
          </w:tcPr>
          <w:p w14:paraId="5CAC404A" w14:textId="77777777" w:rsidR="00CB75B8" w:rsidRPr="001C4B5B" w:rsidRDefault="00CB75B8" w:rsidP="00980C32">
            <w:pPr>
              <w:spacing w:after="0" w:line="240" w:lineRule="auto"/>
              <w:jc w:val="center"/>
              <w:rPr>
                <w:rFonts w:asciiTheme="minorHAnsi" w:eastAsia="Times New Roman" w:hAnsiTheme="minorHAnsi" w:cstheme="minorHAnsi"/>
                <w:b/>
                <w:bCs/>
                <w:color w:val="000000"/>
                <w:sz w:val="20"/>
                <w:szCs w:val="20"/>
                <w:lang w:eastAsia="en-US"/>
              </w:rPr>
            </w:pPr>
          </w:p>
        </w:tc>
      </w:tr>
    </w:tbl>
    <w:p w14:paraId="35DFD36B" w14:textId="7BDE9F46" w:rsidR="005F5304" w:rsidRPr="003506E5" w:rsidRDefault="005F5304" w:rsidP="0098309B">
      <w:pPr>
        <w:pStyle w:val="BodyText"/>
        <w:jc w:val="left"/>
      </w:pPr>
      <w:r w:rsidRPr="003506E5">
        <w:rPr>
          <w:rFonts w:cstheme="minorHAnsi"/>
        </w:rPr>
        <w:lastRenderedPageBreak/>
        <w:t>The data of non-surgical admissions shows that 2</w:t>
      </w:r>
      <w:r w:rsidR="00B96F45" w:rsidRPr="003506E5">
        <w:rPr>
          <w:rFonts w:cstheme="minorHAnsi"/>
        </w:rPr>
        <w:t>23</w:t>
      </w:r>
      <w:r w:rsidRPr="003506E5">
        <w:rPr>
          <w:rFonts w:cstheme="minorHAnsi"/>
        </w:rPr>
        <w:t xml:space="preserve"> (</w:t>
      </w:r>
      <w:r w:rsidR="00A40DF0" w:rsidRPr="003506E5">
        <w:rPr>
          <w:rFonts w:cstheme="minorHAnsi"/>
        </w:rPr>
        <w:t>8</w:t>
      </w:r>
      <w:r w:rsidR="003555E1" w:rsidRPr="003506E5">
        <w:rPr>
          <w:rFonts w:cstheme="minorHAnsi"/>
        </w:rPr>
        <w:t>3</w:t>
      </w:r>
      <w:r w:rsidRPr="003506E5">
        <w:rPr>
          <w:rFonts w:cstheme="minorHAnsi"/>
        </w:rPr>
        <w:t>%) patients from wider population were admitted for non-surgical health problems, among these, 9</w:t>
      </w:r>
      <w:r w:rsidR="00A40DF0" w:rsidRPr="003506E5">
        <w:rPr>
          <w:rFonts w:cstheme="minorHAnsi"/>
        </w:rPr>
        <w:t>8</w:t>
      </w:r>
      <w:r w:rsidRPr="003506E5">
        <w:rPr>
          <w:rFonts w:cstheme="minorHAnsi"/>
        </w:rPr>
        <w:t>% (2</w:t>
      </w:r>
      <w:r w:rsidR="003555E1" w:rsidRPr="003506E5">
        <w:rPr>
          <w:rFonts w:cstheme="minorHAnsi"/>
        </w:rPr>
        <w:t>1</w:t>
      </w:r>
      <w:r w:rsidR="0098309B">
        <w:rPr>
          <w:rFonts w:cstheme="minorHAnsi"/>
        </w:rPr>
        <w:t>8</w:t>
      </w:r>
      <w:r w:rsidRPr="003506E5">
        <w:rPr>
          <w:rFonts w:cstheme="minorHAnsi"/>
        </w:rPr>
        <w:t xml:space="preserve">) were admitted in private hospital and only </w:t>
      </w:r>
      <w:r w:rsidR="003555E1" w:rsidRPr="003506E5">
        <w:rPr>
          <w:rFonts w:cstheme="minorHAnsi"/>
        </w:rPr>
        <w:t>2</w:t>
      </w:r>
      <w:r w:rsidRPr="003506E5">
        <w:rPr>
          <w:rFonts w:cstheme="minorHAnsi"/>
        </w:rPr>
        <w:t>% (</w:t>
      </w:r>
      <w:r w:rsidR="003555E1" w:rsidRPr="003506E5">
        <w:rPr>
          <w:rFonts w:cstheme="minorHAnsi"/>
        </w:rPr>
        <w:t>5</w:t>
      </w:r>
      <w:r w:rsidRPr="003506E5">
        <w:rPr>
          <w:rFonts w:cstheme="minorHAnsi"/>
        </w:rPr>
        <w:t xml:space="preserve">) visited public hospital. On the other hand, only </w:t>
      </w:r>
      <w:r w:rsidR="00A40DF0" w:rsidRPr="003506E5">
        <w:rPr>
          <w:rFonts w:cstheme="minorHAnsi"/>
        </w:rPr>
        <w:t>46</w:t>
      </w:r>
      <w:r w:rsidRPr="003506E5">
        <w:rPr>
          <w:rFonts w:cstheme="minorHAnsi"/>
        </w:rPr>
        <w:t xml:space="preserve"> patients from eligible population visited the health care facility for non-surgical treatments, among that </w:t>
      </w:r>
      <w:r w:rsidR="00A40DF0" w:rsidRPr="003506E5">
        <w:rPr>
          <w:rFonts w:cstheme="minorHAnsi"/>
        </w:rPr>
        <w:t>89</w:t>
      </w:r>
      <w:r w:rsidRPr="003506E5">
        <w:rPr>
          <w:rFonts w:cstheme="minorHAnsi"/>
        </w:rPr>
        <w:t>% (</w:t>
      </w:r>
      <w:r w:rsidR="00A40DF0" w:rsidRPr="003506E5">
        <w:rPr>
          <w:rFonts w:cstheme="minorHAnsi"/>
        </w:rPr>
        <w:t>42</w:t>
      </w:r>
      <w:r w:rsidRPr="003506E5">
        <w:rPr>
          <w:rFonts w:cstheme="minorHAnsi"/>
        </w:rPr>
        <w:t xml:space="preserve">) visited </w:t>
      </w:r>
      <w:r w:rsidR="003555E1" w:rsidRPr="003506E5">
        <w:rPr>
          <w:rFonts w:cstheme="minorHAnsi"/>
        </w:rPr>
        <w:t xml:space="preserve">public hospital and </w:t>
      </w:r>
      <w:r w:rsidR="00A40DF0" w:rsidRPr="003506E5">
        <w:rPr>
          <w:rFonts w:cstheme="minorHAnsi"/>
        </w:rPr>
        <w:t>9</w:t>
      </w:r>
      <w:r w:rsidRPr="003506E5">
        <w:rPr>
          <w:rFonts w:cstheme="minorHAnsi"/>
        </w:rPr>
        <w:t xml:space="preserve">% (4) visited </w:t>
      </w:r>
      <w:r w:rsidR="003555E1" w:rsidRPr="003506E5">
        <w:rPr>
          <w:rFonts w:cstheme="minorHAnsi"/>
        </w:rPr>
        <w:t>private hospital</w:t>
      </w:r>
      <w:r w:rsidRPr="003506E5">
        <w:rPr>
          <w:rFonts w:cstheme="minorHAnsi"/>
        </w:rPr>
        <w:t xml:space="preserve">. The major diagnosis of hospital admissions under non-surgical illness was </w:t>
      </w:r>
      <w:r w:rsidR="001C4B5B" w:rsidRPr="003506E5">
        <w:rPr>
          <w:rFonts w:cstheme="minorHAnsi"/>
        </w:rPr>
        <w:t>Diarrhoea</w:t>
      </w:r>
      <w:r w:rsidR="003555E1" w:rsidRPr="003506E5">
        <w:rPr>
          <w:rFonts w:cstheme="minorHAnsi"/>
        </w:rPr>
        <w:t xml:space="preserve"> </w:t>
      </w:r>
      <w:r w:rsidRPr="003506E5">
        <w:rPr>
          <w:rFonts w:cstheme="minorHAnsi"/>
        </w:rPr>
        <w:t xml:space="preserve">that accounted for </w:t>
      </w:r>
      <w:r w:rsidR="00A40DF0" w:rsidRPr="003506E5">
        <w:rPr>
          <w:rFonts w:cstheme="minorHAnsi"/>
        </w:rPr>
        <w:t>28</w:t>
      </w:r>
      <w:r w:rsidRPr="003506E5">
        <w:rPr>
          <w:rFonts w:cstheme="minorHAnsi"/>
        </w:rPr>
        <w:t>% (</w:t>
      </w:r>
      <w:r w:rsidR="00A40DF0" w:rsidRPr="003506E5">
        <w:rPr>
          <w:rFonts w:cstheme="minorHAnsi"/>
        </w:rPr>
        <w:t>75</w:t>
      </w:r>
      <w:r w:rsidRPr="003506E5">
        <w:rPr>
          <w:rFonts w:cstheme="minorHAnsi"/>
        </w:rPr>
        <w:t>) in total admissions.</w:t>
      </w:r>
      <w:r w:rsidR="0098309B">
        <w:rPr>
          <w:rFonts w:cstheme="minorHAnsi"/>
        </w:rPr>
        <w:t xml:space="preserve"> </w:t>
      </w:r>
      <w:r w:rsidR="0026085C">
        <w:rPr>
          <w:rFonts w:cstheme="minorHAnsi"/>
        </w:rPr>
        <w:t xml:space="preserve">The trend of utilising services from public sector hospitals by the eligible population and from private hospitals (particularly from GMC) by wider population continued. As highlighted in earlier reports it may be due to differences in health seeking behaviour due to economic status.  </w:t>
      </w:r>
    </w:p>
    <w:p w14:paraId="66BE9240" w14:textId="1378D3F5" w:rsidR="005F5304" w:rsidRPr="003506E5" w:rsidRDefault="005F5304" w:rsidP="005F5304">
      <w:pPr>
        <w:pStyle w:val="BodyText"/>
        <w:rPr>
          <w:rFonts w:cstheme="minorHAnsi"/>
        </w:rPr>
      </w:pPr>
      <w:r w:rsidRPr="003506E5">
        <w:rPr>
          <w:rFonts w:cstheme="minorHAnsi"/>
        </w:rPr>
        <w:t>The following table shows the causes of surgical admissions.</w:t>
      </w:r>
    </w:p>
    <w:p w14:paraId="3C8C5D05" w14:textId="14EC205A" w:rsidR="005F5304" w:rsidRPr="003506E5" w:rsidRDefault="005F5304" w:rsidP="00147B71">
      <w:pPr>
        <w:pStyle w:val="Caption"/>
      </w:pPr>
      <w:bookmarkStart w:id="37" w:name="_Toc57215231"/>
      <w:r w:rsidRPr="003506E5">
        <w:t xml:space="preserve">Table </w:t>
      </w:r>
      <w:r w:rsidR="00B76041" w:rsidRPr="003506E5">
        <w:fldChar w:fldCharType="begin"/>
      </w:r>
      <w:r w:rsidRPr="003506E5">
        <w:instrText xml:space="preserve"> SEQ Table \* ARABIC </w:instrText>
      </w:r>
      <w:r w:rsidR="00B76041" w:rsidRPr="003506E5">
        <w:fldChar w:fldCharType="separate"/>
      </w:r>
      <w:r w:rsidR="00AE4FA0">
        <w:rPr>
          <w:noProof/>
        </w:rPr>
        <w:t>11</w:t>
      </w:r>
      <w:r w:rsidR="00B76041" w:rsidRPr="003506E5">
        <w:fldChar w:fldCharType="end"/>
      </w:r>
      <w:r w:rsidRPr="003506E5">
        <w:t>:</w:t>
      </w:r>
      <w:r w:rsidR="00EB1301" w:rsidRPr="003506E5">
        <w:t xml:space="preserve"> </w:t>
      </w:r>
      <w:r w:rsidRPr="003506E5">
        <w:t>Surgical Admissions</w:t>
      </w:r>
      <w:bookmarkEnd w:id="37"/>
    </w:p>
    <w:tbl>
      <w:tblPr>
        <w:tblW w:w="9260" w:type="dxa"/>
        <w:tblLayout w:type="fixed"/>
        <w:tblLook w:val="04A0" w:firstRow="1" w:lastRow="0" w:firstColumn="1" w:lastColumn="0" w:noHBand="0" w:noVBand="1"/>
      </w:tblPr>
      <w:tblGrid>
        <w:gridCol w:w="3325"/>
        <w:gridCol w:w="1440"/>
        <w:gridCol w:w="1170"/>
        <w:gridCol w:w="1170"/>
        <w:gridCol w:w="1195"/>
        <w:gridCol w:w="960"/>
      </w:tblGrid>
      <w:tr w:rsidR="00CD5335" w:rsidRPr="003506E5" w14:paraId="679B1A90" w14:textId="77777777" w:rsidTr="009E75E6">
        <w:trPr>
          <w:trHeight w:val="439"/>
        </w:trPr>
        <w:tc>
          <w:tcPr>
            <w:tcW w:w="3325" w:type="dxa"/>
            <w:vMerge w:val="restart"/>
            <w:tcBorders>
              <w:top w:val="single" w:sz="4" w:space="0" w:color="auto"/>
              <w:left w:val="single" w:sz="4" w:space="0" w:color="auto"/>
              <w:bottom w:val="single" w:sz="4" w:space="0" w:color="auto"/>
              <w:right w:val="single" w:sz="4" w:space="0" w:color="auto"/>
            </w:tcBorders>
            <w:shd w:val="clear" w:color="000000" w:fill="0B1F51"/>
            <w:vAlign w:val="center"/>
            <w:hideMark/>
          </w:tcPr>
          <w:p w14:paraId="5CEBFE1F" w14:textId="0F39E87A" w:rsidR="00CD5335" w:rsidRPr="003506E5" w:rsidRDefault="00CD5335" w:rsidP="00147B71">
            <w:pPr>
              <w:spacing w:after="0" w:line="240" w:lineRule="auto"/>
              <w:rPr>
                <w:rFonts w:eastAsia="Times New Roman"/>
                <w:b/>
                <w:bCs/>
                <w:color w:val="FFFFFF"/>
                <w:sz w:val="20"/>
                <w:szCs w:val="20"/>
                <w:lang w:eastAsia="en-US"/>
              </w:rPr>
            </w:pPr>
            <w:r w:rsidRPr="003506E5">
              <w:rPr>
                <w:rFonts w:eastAsia="Times New Roman"/>
                <w:b/>
                <w:bCs/>
                <w:color w:val="FFFFFF"/>
                <w:sz w:val="20"/>
                <w:szCs w:val="20"/>
                <w:lang w:eastAsia="en-US"/>
              </w:rPr>
              <w:t xml:space="preserve">Surgical/Obstetric </w:t>
            </w:r>
            <w:r w:rsidR="00147B71" w:rsidRPr="003506E5">
              <w:rPr>
                <w:rFonts w:eastAsia="Times New Roman"/>
                <w:b/>
                <w:bCs/>
                <w:color w:val="FFFFFF"/>
                <w:sz w:val="20"/>
                <w:szCs w:val="20"/>
                <w:lang w:eastAsia="en-US"/>
              </w:rPr>
              <w:t>Diagnosis</w:t>
            </w:r>
          </w:p>
        </w:tc>
        <w:tc>
          <w:tcPr>
            <w:tcW w:w="2610" w:type="dxa"/>
            <w:gridSpan w:val="2"/>
            <w:tcBorders>
              <w:top w:val="single" w:sz="8" w:space="0" w:color="45A7E1"/>
              <w:left w:val="single" w:sz="8" w:space="0" w:color="45A7E1"/>
              <w:bottom w:val="single" w:sz="8" w:space="0" w:color="45A7E1"/>
              <w:right w:val="single" w:sz="8" w:space="0" w:color="45A7E1"/>
            </w:tcBorders>
            <w:shd w:val="clear" w:color="000000" w:fill="0B1F51"/>
            <w:noWrap/>
            <w:vAlign w:val="center"/>
            <w:hideMark/>
          </w:tcPr>
          <w:p w14:paraId="6480C134" w14:textId="77777777" w:rsidR="00CD5335" w:rsidRPr="003506E5" w:rsidRDefault="00CD5335" w:rsidP="00CD5335">
            <w:pPr>
              <w:spacing w:after="0" w:line="240" w:lineRule="auto"/>
              <w:jc w:val="center"/>
              <w:rPr>
                <w:rFonts w:eastAsia="Times New Roman"/>
                <w:b/>
                <w:bCs/>
                <w:color w:val="FFFFFF"/>
                <w:sz w:val="20"/>
                <w:szCs w:val="20"/>
                <w:lang w:eastAsia="en-US"/>
              </w:rPr>
            </w:pPr>
            <w:r w:rsidRPr="003506E5">
              <w:rPr>
                <w:rFonts w:eastAsia="Times New Roman"/>
                <w:b/>
                <w:bCs/>
                <w:color w:val="FFFFFF"/>
                <w:sz w:val="20"/>
                <w:szCs w:val="20"/>
                <w:lang w:eastAsia="en-US"/>
              </w:rPr>
              <w:t>Public Hospitals</w:t>
            </w:r>
          </w:p>
        </w:tc>
        <w:tc>
          <w:tcPr>
            <w:tcW w:w="2365" w:type="dxa"/>
            <w:gridSpan w:val="2"/>
            <w:tcBorders>
              <w:top w:val="single" w:sz="8" w:space="0" w:color="45A7E1"/>
              <w:left w:val="nil"/>
              <w:bottom w:val="single" w:sz="8" w:space="0" w:color="45A7E1"/>
              <w:right w:val="single" w:sz="8" w:space="0" w:color="45A7E1"/>
            </w:tcBorders>
            <w:shd w:val="clear" w:color="000000" w:fill="0B1F51"/>
            <w:noWrap/>
            <w:vAlign w:val="center"/>
            <w:hideMark/>
          </w:tcPr>
          <w:p w14:paraId="3A80CED8" w14:textId="77777777" w:rsidR="00CD5335" w:rsidRPr="003506E5" w:rsidRDefault="00CD5335" w:rsidP="00CD5335">
            <w:pPr>
              <w:spacing w:after="0" w:line="240" w:lineRule="auto"/>
              <w:jc w:val="center"/>
              <w:rPr>
                <w:rFonts w:eastAsia="Times New Roman"/>
                <w:b/>
                <w:bCs/>
                <w:color w:val="FFFFFF"/>
                <w:sz w:val="20"/>
                <w:szCs w:val="20"/>
                <w:lang w:eastAsia="en-US"/>
              </w:rPr>
            </w:pPr>
            <w:r w:rsidRPr="003506E5">
              <w:rPr>
                <w:rFonts w:eastAsia="Times New Roman"/>
                <w:b/>
                <w:bCs/>
                <w:color w:val="FFFFFF"/>
                <w:sz w:val="20"/>
                <w:szCs w:val="20"/>
                <w:lang w:eastAsia="en-US"/>
              </w:rPr>
              <w:t>Private Hospitals</w:t>
            </w:r>
          </w:p>
        </w:tc>
        <w:tc>
          <w:tcPr>
            <w:tcW w:w="960" w:type="dxa"/>
            <w:vMerge w:val="restart"/>
            <w:tcBorders>
              <w:top w:val="single" w:sz="8" w:space="0" w:color="45A7E1"/>
              <w:left w:val="single" w:sz="8" w:space="0" w:color="45A7E1"/>
              <w:bottom w:val="nil"/>
              <w:right w:val="single" w:sz="8" w:space="0" w:color="45A7E1"/>
            </w:tcBorders>
            <w:shd w:val="clear" w:color="000000" w:fill="0B1F51"/>
            <w:vAlign w:val="center"/>
            <w:hideMark/>
          </w:tcPr>
          <w:p w14:paraId="7A8BFDF8" w14:textId="77777777" w:rsidR="00CD5335" w:rsidRPr="003506E5" w:rsidRDefault="00CD5335" w:rsidP="00CD5335">
            <w:pPr>
              <w:spacing w:after="0" w:line="240" w:lineRule="auto"/>
              <w:jc w:val="center"/>
              <w:rPr>
                <w:rFonts w:eastAsia="Times New Roman"/>
                <w:b/>
                <w:bCs/>
                <w:color w:val="FFFFFF"/>
                <w:sz w:val="20"/>
                <w:szCs w:val="20"/>
                <w:lang w:eastAsia="en-US"/>
              </w:rPr>
            </w:pPr>
            <w:r w:rsidRPr="003506E5">
              <w:rPr>
                <w:rFonts w:eastAsia="Times New Roman"/>
                <w:b/>
                <w:bCs/>
                <w:color w:val="FFFFFF"/>
                <w:sz w:val="20"/>
                <w:szCs w:val="20"/>
                <w:lang w:eastAsia="en-US"/>
              </w:rPr>
              <w:t>Total</w:t>
            </w:r>
          </w:p>
        </w:tc>
      </w:tr>
      <w:tr w:rsidR="00CD5335" w:rsidRPr="003506E5" w14:paraId="778DBC2E" w14:textId="77777777" w:rsidTr="00847948">
        <w:trPr>
          <w:trHeight w:val="510"/>
        </w:trPr>
        <w:tc>
          <w:tcPr>
            <w:tcW w:w="3325" w:type="dxa"/>
            <w:vMerge/>
            <w:tcBorders>
              <w:top w:val="single" w:sz="4" w:space="0" w:color="auto"/>
              <w:left w:val="single" w:sz="4" w:space="0" w:color="auto"/>
              <w:bottom w:val="single" w:sz="4" w:space="0" w:color="auto"/>
              <w:right w:val="single" w:sz="4" w:space="0" w:color="auto"/>
            </w:tcBorders>
            <w:vAlign w:val="center"/>
            <w:hideMark/>
          </w:tcPr>
          <w:p w14:paraId="4456EFBD" w14:textId="77777777" w:rsidR="00CD5335" w:rsidRPr="003506E5" w:rsidRDefault="00CD5335" w:rsidP="00CD5335">
            <w:pPr>
              <w:spacing w:after="0" w:line="240" w:lineRule="auto"/>
              <w:rPr>
                <w:rFonts w:eastAsia="Times New Roman"/>
                <w:b/>
                <w:bCs/>
                <w:color w:val="FFFFFF"/>
                <w:sz w:val="20"/>
                <w:szCs w:val="20"/>
                <w:lang w:eastAsia="en-US"/>
              </w:rPr>
            </w:pPr>
          </w:p>
        </w:tc>
        <w:tc>
          <w:tcPr>
            <w:tcW w:w="1440" w:type="dxa"/>
            <w:tcBorders>
              <w:top w:val="nil"/>
              <w:left w:val="nil"/>
              <w:bottom w:val="single" w:sz="8" w:space="0" w:color="45A7E1"/>
              <w:right w:val="single" w:sz="8" w:space="0" w:color="45A7E1"/>
            </w:tcBorders>
            <w:shd w:val="clear" w:color="000000" w:fill="DBE4ED"/>
            <w:vAlign w:val="center"/>
            <w:hideMark/>
          </w:tcPr>
          <w:p w14:paraId="5637EEF0" w14:textId="77777777" w:rsidR="00CD5335" w:rsidRPr="003506E5" w:rsidRDefault="00CD5335" w:rsidP="00CD5335">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 xml:space="preserve">Eligible Population </w:t>
            </w:r>
          </w:p>
        </w:tc>
        <w:tc>
          <w:tcPr>
            <w:tcW w:w="1170" w:type="dxa"/>
            <w:tcBorders>
              <w:top w:val="nil"/>
              <w:left w:val="nil"/>
              <w:bottom w:val="single" w:sz="8" w:space="0" w:color="45A7E1"/>
              <w:right w:val="single" w:sz="8" w:space="0" w:color="45A7E1"/>
            </w:tcBorders>
            <w:shd w:val="clear" w:color="000000" w:fill="DBE4ED"/>
            <w:vAlign w:val="center"/>
            <w:hideMark/>
          </w:tcPr>
          <w:p w14:paraId="3AD65FC1" w14:textId="77777777" w:rsidR="00CD5335" w:rsidRPr="003506E5" w:rsidRDefault="00CD5335" w:rsidP="00CD5335">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Wider Population</w:t>
            </w:r>
          </w:p>
        </w:tc>
        <w:tc>
          <w:tcPr>
            <w:tcW w:w="1170" w:type="dxa"/>
            <w:tcBorders>
              <w:top w:val="nil"/>
              <w:left w:val="nil"/>
              <w:bottom w:val="single" w:sz="8" w:space="0" w:color="45A7E1"/>
              <w:right w:val="single" w:sz="8" w:space="0" w:color="45A7E1"/>
            </w:tcBorders>
            <w:shd w:val="clear" w:color="000000" w:fill="DBE4ED"/>
            <w:vAlign w:val="center"/>
            <w:hideMark/>
          </w:tcPr>
          <w:p w14:paraId="4D243E89" w14:textId="77777777" w:rsidR="00CD5335" w:rsidRPr="003506E5" w:rsidRDefault="00CD5335" w:rsidP="00CD5335">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Eligible Population</w:t>
            </w:r>
          </w:p>
        </w:tc>
        <w:tc>
          <w:tcPr>
            <w:tcW w:w="1195" w:type="dxa"/>
            <w:tcBorders>
              <w:top w:val="nil"/>
              <w:left w:val="nil"/>
              <w:bottom w:val="single" w:sz="8" w:space="0" w:color="45A7E1"/>
              <w:right w:val="single" w:sz="8" w:space="0" w:color="45A7E1"/>
            </w:tcBorders>
            <w:shd w:val="clear" w:color="000000" w:fill="DBE4ED"/>
            <w:vAlign w:val="center"/>
            <w:hideMark/>
          </w:tcPr>
          <w:p w14:paraId="027FFC4B" w14:textId="77777777" w:rsidR="00CD5335" w:rsidRPr="003506E5" w:rsidRDefault="00CD5335" w:rsidP="00CD5335">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 xml:space="preserve">Wider Population </w:t>
            </w:r>
          </w:p>
        </w:tc>
        <w:tc>
          <w:tcPr>
            <w:tcW w:w="960" w:type="dxa"/>
            <w:vMerge/>
            <w:tcBorders>
              <w:top w:val="single" w:sz="8" w:space="0" w:color="45A7E1"/>
              <w:left w:val="single" w:sz="8" w:space="0" w:color="45A7E1"/>
              <w:bottom w:val="nil"/>
              <w:right w:val="single" w:sz="8" w:space="0" w:color="45A7E1"/>
            </w:tcBorders>
            <w:vAlign w:val="center"/>
            <w:hideMark/>
          </w:tcPr>
          <w:p w14:paraId="02FE79A7" w14:textId="77777777" w:rsidR="00CD5335" w:rsidRPr="003506E5" w:rsidRDefault="00CD5335" w:rsidP="00CD5335">
            <w:pPr>
              <w:spacing w:after="0" w:line="240" w:lineRule="auto"/>
              <w:rPr>
                <w:rFonts w:eastAsia="Times New Roman"/>
                <w:b/>
                <w:bCs/>
                <w:color w:val="FFFFFF"/>
                <w:sz w:val="20"/>
                <w:szCs w:val="20"/>
                <w:lang w:eastAsia="en-US"/>
              </w:rPr>
            </w:pPr>
          </w:p>
        </w:tc>
      </w:tr>
      <w:tr w:rsidR="00147B71" w:rsidRPr="003506E5" w14:paraId="22C7B8D5" w14:textId="77777777" w:rsidTr="0098309B">
        <w:trPr>
          <w:trHeight w:val="317"/>
        </w:trPr>
        <w:tc>
          <w:tcPr>
            <w:tcW w:w="3325" w:type="dxa"/>
            <w:tcBorders>
              <w:top w:val="nil"/>
              <w:left w:val="single" w:sz="8" w:space="0" w:color="45A7E1"/>
              <w:bottom w:val="single" w:sz="8" w:space="0" w:color="45A7E1"/>
              <w:right w:val="single" w:sz="8" w:space="0" w:color="45A7E1"/>
            </w:tcBorders>
            <w:shd w:val="clear" w:color="000000" w:fill="DBE4ED"/>
            <w:vAlign w:val="bottom"/>
            <w:hideMark/>
          </w:tcPr>
          <w:p w14:paraId="1379309D" w14:textId="04D34B9E" w:rsidR="00147B71" w:rsidRPr="003506E5" w:rsidRDefault="00147B71" w:rsidP="00147B71">
            <w:pPr>
              <w:spacing w:after="0" w:line="240" w:lineRule="auto"/>
              <w:rPr>
                <w:rFonts w:asciiTheme="minorHAnsi" w:eastAsia="Times New Roman" w:hAnsiTheme="minorHAnsi" w:cstheme="minorHAnsi"/>
                <w:color w:val="000000"/>
                <w:sz w:val="20"/>
                <w:szCs w:val="20"/>
                <w:lang w:eastAsia="en-US"/>
              </w:rPr>
            </w:pPr>
            <w:r w:rsidRPr="003506E5">
              <w:rPr>
                <w:rFonts w:asciiTheme="minorHAnsi" w:hAnsiTheme="minorHAnsi" w:cstheme="minorHAnsi"/>
                <w:color w:val="000000"/>
                <w:sz w:val="20"/>
                <w:szCs w:val="20"/>
              </w:rPr>
              <w:t>Acute Appendicitis / Appendectomy</w:t>
            </w:r>
          </w:p>
        </w:tc>
        <w:tc>
          <w:tcPr>
            <w:tcW w:w="1440" w:type="dxa"/>
            <w:tcBorders>
              <w:top w:val="nil"/>
              <w:left w:val="nil"/>
              <w:bottom w:val="single" w:sz="8" w:space="0" w:color="45A7E1"/>
              <w:right w:val="single" w:sz="8" w:space="0" w:color="45A7E1"/>
            </w:tcBorders>
            <w:shd w:val="clear" w:color="000000" w:fill="DBE4ED"/>
            <w:noWrap/>
            <w:vAlign w:val="center"/>
          </w:tcPr>
          <w:p w14:paraId="2B4AA544" w14:textId="0F5131FF" w:rsidR="00147B71" w:rsidRPr="003506E5" w:rsidRDefault="00147B71" w:rsidP="00E94F5B">
            <w:pPr>
              <w:spacing w:after="0" w:line="240" w:lineRule="auto"/>
              <w:jc w:val="center"/>
              <w:rPr>
                <w:rFonts w:asciiTheme="minorHAnsi" w:eastAsia="Times New Roman" w:hAnsiTheme="minorHAnsi" w:cstheme="minorHAnsi"/>
                <w:color w:val="000000"/>
                <w:sz w:val="20"/>
                <w:szCs w:val="20"/>
                <w:lang w:eastAsia="en-US"/>
              </w:rPr>
            </w:pPr>
            <w:r w:rsidRPr="003506E5">
              <w:rPr>
                <w:rFonts w:asciiTheme="minorHAnsi" w:hAnsiTheme="minorHAnsi" w:cstheme="minorHAnsi"/>
                <w:color w:val="000000"/>
                <w:sz w:val="20"/>
                <w:szCs w:val="20"/>
              </w:rPr>
              <w:t>78</w:t>
            </w:r>
          </w:p>
        </w:tc>
        <w:tc>
          <w:tcPr>
            <w:tcW w:w="1170" w:type="dxa"/>
            <w:tcBorders>
              <w:top w:val="nil"/>
              <w:left w:val="nil"/>
              <w:bottom w:val="single" w:sz="8" w:space="0" w:color="45A7E1"/>
              <w:right w:val="single" w:sz="8" w:space="0" w:color="45A7E1"/>
            </w:tcBorders>
            <w:shd w:val="clear" w:color="000000" w:fill="DBE4ED"/>
            <w:noWrap/>
            <w:vAlign w:val="center"/>
          </w:tcPr>
          <w:p w14:paraId="69B2FE50" w14:textId="38F7C9D8" w:rsidR="00147B71" w:rsidRPr="003506E5" w:rsidRDefault="00147B71" w:rsidP="00E94F5B">
            <w:pPr>
              <w:spacing w:after="0" w:line="240" w:lineRule="auto"/>
              <w:jc w:val="center"/>
              <w:rPr>
                <w:rFonts w:asciiTheme="minorHAnsi" w:eastAsia="Times New Roman" w:hAnsiTheme="minorHAnsi" w:cstheme="minorHAnsi"/>
                <w:color w:val="000000"/>
                <w:sz w:val="20"/>
                <w:szCs w:val="20"/>
                <w:lang w:eastAsia="en-US"/>
              </w:rPr>
            </w:pPr>
            <w:r w:rsidRPr="003506E5">
              <w:rPr>
                <w:rFonts w:asciiTheme="minorHAnsi" w:hAnsiTheme="minorHAnsi" w:cstheme="minorHAnsi"/>
                <w:color w:val="000000"/>
                <w:sz w:val="20"/>
                <w:szCs w:val="20"/>
              </w:rPr>
              <w:t>2</w:t>
            </w:r>
          </w:p>
        </w:tc>
        <w:tc>
          <w:tcPr>
            <w:tcW w:w="1170" w:type="dxa"/>
            <w:tcBorders>
              <w:top w:val="nil"/>
              <w:left w:val="nil"/>
              <w:bottom w:val="single" w:sz="8" w:space="0" w:color="45A7E1"/>
              <w:right w:val="single" w:sz="8" w:space="0" w:color="45A7E1"/>
            </w:tcBorders>
            <w:shd w:val="clear" w:color="000000" w:fill="DBE4ED"/>
            <w:noWrap/>
            <w:vAlign w:val="center"/>
          </w:tcPr>
          <w:p w14:paraId="12D33063" w14:textId="733EF15B" w:rsidR="00147B71" w:rsidRPr="003506E5" w:rsidRDefault="00147B71" w:rsidP="00E94F5B">
            <w:pPr>
              <w:spacing w:after="0" w:line="240" w:lineRule="auto"/>
              <w:jc w:val="center"/>
              <w:rPr>
                <w:rFonts w:asciiTheme="minorHAnsi" w:eastAsia="Times New Roman" w:hAnsiTheme="minorHAnsi" w:cstheme="minorHAnsi"/>
                <w:color w:val="000000"/>
                <w:sz w:val="20"/>
                <w:szCs w:val="20"/>
                <w:lang w:eastAsia="en-US"/>
              </w:rPr>
            </w:pPr>
            <w:r w:rsidRPr="003506E5">
              <w:rPr>
                <w:rFonts w:asciiTheme="minorHAnsi" w:hAnsiTheme="minorHAnsi" w:cstheme="minorHAnsi"/>
                <w:color w:val="000000"/>
                <w:sz w:val="20"/>
                <w:szCs w:val="20"/>
              </w:rPr>
              <w:t>1</w:t>
            </w:r>
          </w:p>
        </w:tc>
        <w:tc>
          <w:tcPr>
            <w:tcW w:w="1195" w:type="dxa"/>
            <w:tcBorders>
              <w:top w:val="nil"/>
              <w:left w:val="nil"/>
              <w:bottom w:val="single" w:sz="8" w:space="0" w:color="45A7E1"/>
              <w:right w:val="single" w:sz="8" w:space="0" w:color="45A7E1"/>
            </w:tcBorders>
            <w:shd w:val="clear" w:color="000000" w:fill="DBE4ED"/>
            <w:noWrap/>
            <w:vAlign w:val="center"/>
          </w:tcPr>
          <w:p w14:paraId="4AF3F9F7" w14:textId="50BE17E9" w:rsidR="00147B71" w:rsidRPr="003506E5" w:rsidRDefault="00147B71" w:rsidP="00E94F5B">
            <w:pPr>
              <w:spacing w:after="0" w:line="240" w:lineRule="auto"/>
              <w:jc w:val="center"/>
              <w:rPr>
                <w:rFonts w:asciiTheme="minorHAnsi" w:eastAsia="Times New Roman" w:hAnsiTheme="minorHAnsi" w:cstheme="minorHAnsi"/>
                <w:color w:val="000000"/>
                <w:sz w:val="20"/>
                <w:szCs w:val="20"/>
                <w:lang w:eastAsia="en-US"/>
              </w:rPr>
            </w:pPr>
            <w:r w:rsidRPr="003506E5">
              <w:rPr>
                <w:rFonts w:asciiTheme="minorHAnsi" w:hAnsiTheme="minorHAnsi" w:cstheme="minorHAnsi"/>
                <w:color w:val="000000"/>
                <w:sz w:val="20"/>
                <w:szCs w:val="20"/>
              </w:rPr>
              <w:t>10</w:t>
            </w:r>
          </w:p>
        </w:tc>
        <w:tc>
          <w:tcPr>
            <w:tcW w:w="960" w:type="dxa"/>
            <w:tcBorders>
              <w:top w:val="nil"/>
              <w:left w:val="nil"/>
              <w:bottom w:val="single" w:sz="8" w:space="0" w:color="45A7E1"/>
              <w:right w:val="single" w:sz="8" w:space="0" w:color="45A7E1"/>
            </w:tcBorders>
            <w:shd w:val="clear" w:color="000000" w:fill="DBE4ED"/>
            <w:noWrap/>
            <w:vAlign w:val="center"/>
          </w:tcPr>
          <w:p w14:paraId="0CC954D2" w14:textId="67499C4B" w:rsidR="00147B71" w:rsidRPr="003506E5" w:rsidRDefault="00147B71" w:rsidP="00E94F5B">
            <w:pPr>
              <w:spacing w:after="0" w:line="240" w:lineRule="auto"/>
              <w:jc w:val="center"/>
              <w:rPr>
                <w:rFonts w:asciiTheme="minorHAnsi" w:eastAsia="Times New Roman" w:hAnsiTheme="minorHAnsi" w:cstheme="minorHAnsi"/>
                <w:color w:val="000000"/>
                <w:sz w:val="20"/>
                <w:szCs w:val="20"/>
                <w:lang w:eastAsia="en-US"/>
              </w:rPr>
            </w:pPr>
            <w:r w:rsidRPr="003506E5">
              <w:rPr>
                <w:rFonts w:asciiTheme="minorHAnsi" w:eastAsia="Times New Roman" w:hAnsiTheme="minorHAnsi" w:cstheme="minorHAnsi"/>
                <w:color w:val="000000"/>
                <w:sz w:val="20"/>
                <w:szCs w:val="20"/>
                <w:lang w:eastAsia="en-US"/>
              </w:rPr>
              <w:fldChar w:fldCharType="begin"/>
            </w:r>
            <w:r w:rsidRPr="003506E5">
              <w:rPr>
                <w:rFonts w:asciiTheme="minorHAnsi" w:eastAsia="Times New Roman" w:hAnsiTheme="minorHAnsi" w:cstheme="minorHAnsi"/>
                <w:color w:val="000000"/>
                <w:sz w:val="20"/>
                <w:szCs w:val="20"/>
                <w:lang w:eastAsia="en-US"/>
              </w:rPr>
              <w:instrText xml:space="preserve"> =SUM(left) </w:instrText>
            </w:r>
            <w:r w:rsidRPr="003506E5">
              <w:rPr>
                <w:rFonts w:asciiTheme="minorHAnsi" w:eastAsia="Times New Roman" w:hAnsiTheme="minorHAnsi" w:cstheme="minorHAnsi"/>
                <w:color w:val="000000"/>
                <w:sz w:val="20"/>
                <w:szCs w:val="20"/>
                <w:lang w:eastAsia="en-US"/>
              </w:rPr>
              <w:fldChar w:fldCharType="separate"/>
            </w:r>
            <w:r w:rsidRPr="003506E5">
              <w:rPr>
                <w:rFonts w:asciiTheme="minorHAnsi" w:eastAsia="Times New Roman" w:hAnsiTheme="minorHAnsi" w:cstheme="minorHAnsi"/>
                <w:noProof/>
                <w:color w:val="000000"/>
                <w:sz w:val="20"/>
                <w:szCs w:val="20"/>
                <w:lang w:eastAsia="en-US"/>
              </w:rPr>
              <w:t>91</w:t>
            </w:r>
            <w:r w:rsidRPr="003506E5">
              <w:rPr>
                <w:rFonts w:asciiTheme="minorHAnsi" w:eastAsia="Times New Roman" w:hAnsiTheme="minorHAnsi" w:cstheme="minorHAnsi"/>
                <w:color w:val="000000"/>
                <w:sz w:val="20"/>
                <w:szCs w:val="20"/>
                <w:lang w:eastAsia="en-US"/>
              </w:rPr>
              <w:fldChar w:fldCharType="end"/>
            </w:r>
          </w:p>
        </w:tc>
      </w:tr>
      <w:tr w:rsidR="00147B71" w:rsidRPr="003506E5" w14:paraId="13F7D02F" w14:textId="77777777" w:rsidTr="0098309B">
        <w:trPr>
          <w:trHeight w:val="317"/>
        </w:trPr>
        <w:tc>
          <w:tcPr>
            <w:tcW w:w="3325" w:type="dxa"/>
            <w:tcBorders>
              <w:top w:val="nil"/>
              <w:left w:val="single" w:sz="8" w:space="0" w:color="45A7E1"/>
              <w:bottom w:val="single" w:sz="8" w:space="0" w:color="45A7E1"/>
              <w:right w:val="single" w:sz="8" w:space="0" w:color="45A7E1"/>
            </w:tcBorders>
            <w:shd w:val="clear" w:color="000000" w:fill="DBE4ED"/>
            <w:vAlign w:val="bottom"/>
            <w:hideMark/>
          </w:tcPr>
          <w:p w14:paraId="630A943A" w14:textId="1C07BDBE" w:rsidR="00147B71" w:rsidRPr="003506E5" w:rsidRDefault="00147B71" w:rsidP="00147B71">
            <w:pPr>
              <w:spacing w:after="0" w:line="240" w:lineRule="auto"/>
              <w:rPr>
                <w:rFonts w:asciiTheme="minorHAnsi" w:hAnsiTheme="minorHAnsi" w:cstheme="minorHAnsi"/>
                <w:color w:val="000000"/>
                <w:sz w:val="20"/>
                <w:szCs w:val="20"/>
              </w:rPr>
            </w:pPr>
            <w:r w:rsidRPr="003506E5">
              <w:rPr>
                <w:rFonts w:asciiTheme="minorHAnsi" w:hAnsiTheme="minorHAnsi" w:cstheme="minorHAnsi"/>
                <w:color w:val="000000"/>
                <w:sz w:val="20"/>
                <w:szCs w:val="20"/>
              </w:rPr>
              <w:t>Lower Segment Caesarean Section</w:t>
            </w:r>
          </w:p>
        </w:tc>
        <w:tc>
          <w:tcPr>
            <w:tcW w:w="1440" w:type="dxa"/>
            <w:tcBorders>
              <w:top w:val="nil"/>
              <w:left w:val="nil"/>
              <w:bottom w:val="single" w:sz="8" w:space="0" w:color="45A7E1"/>
              <w:right w:val="single" w:sz="8" w:space="0" w:color="45A7E1"/>
            </w:tcBorders>
            <w:shd w:val="clear" w:color="000000" w:fill="DBE4ED"/>
            <w:noWrap/>
            <w:vAlign w:val="center"/>
          </w:tcPr>
          <w:p w14:paraId="27E54E89" w14:textId="150744E1" w:rsidR="00147B71" w:rsidRPr="003506E5" w:rsidRDefault="00147B71" w:rsidP="00E94F5B">
            <w:pPr>
              <w:spacing w:after="0" w:line="240" w:lineRule="auto"/>
              <w:jc w:val="center"/>
              <w:rPr>
                <w:rFonts w:asciiTheme="minorHAnsi" w:eastAsia="Times New Roman" w:hAnsiTheme="minorHAnsi" w:cstheme="minorHAnsi"/>
                <w:color w:val="000000"/>
                <w:sz w:val="20"/>
                <w:szCs w:val="20"/>
                <w:lang w:eastAsia="en-US"/>
              </w:rPr>
            </w:pPr>
            <w:r w:rsidRPr="003506E5">
              <w:rPr>
                <w:rFonts w:asciiTheme="minorHAnsi" w:hAnsiTheme="minorHAnsi" w:cstheme="minorHAnsi"/>
                <w:color w:val="000000"/>
                <w:sz w:val="20"/>
                <w:szCs w:val="20"/>
              </w:rPr>
              <w:t>4</w:t>
            </w:r>
          </w:p>
        </w:tc>
        <w:tc>
          <w:tcPr>
            <w:tcW w:w="1170" w:type="dxa"/>
            <w:tcBorders>
              <w:top w:val="nil"/>
              <w:left w:val="nil"/>
              <w:bottom w:val="single" w:sz="8" w:space="0" w:color="45A7E1"/>
              <w:right w:val="single" w:sz="8" w:space="0" w:color="45A7E1"/>
            </w:tcBorders>
            <w:shd w:val="clear" w:color="000000" w:fill="DBE4ED"/>
            <w:noWrap/>
            <w:vAlign w:val="center"/>
          </w:tcPr>
          <w:p w14:paraId="2302B2F7" w14:textId="52EA244F" w:rsidR="00147B71" w:rsidRPr="003506E5" w:rsidRDefault="00147B71" w:rsidP="00E94F5B">
            <w:pPr>
              <w:spacing w:after="0" w:line="240" w:lineRule="auto"/>
              <w:jc w:val="center"/>
              <w:rPr>
                <w:rFonts w:asciiTheme="minorHAnsi" w:eastAsia="Times New Roman" w:hAnsiTheme="minorHAnsi" w:cstheme="minorHAnsi"/>
                <w:color w:val="000000"/>
                <w:sz w:val="20"/>
                <w:szCs w:val="20"/>
                <w:lang w:eastAsia="en-US"/>
              </w:rPr>
            </w:pPr>
            <w:r w:rsidRPr="003506E5">
              <w:rPr>
                <w:rFonts w:asciiTheme="minorHAnsi" w:hAnsiTheme="minorHAnsi" w:cstheme="minorHAnsi"/>
                <w:color w:val="000000"/>
                <w:sz w:val="20"/>
                <w:szCs w:val="20"/>
              </w:rPr>
              <w:t>4</w:t>
            </w:r>
          </w:p>
        </w:tc>
        <w:tc>
          <w:tcPr>
            <w:tcW w:w="1170" w:type="dxa"/>
            <w:tcBorders>
              <w:top w:val="nil"/>
              <w:left w:val="nil"/>
              <w:bottom w:val="single" w:sz="8" w:space="0" w:color="45A7E1"/>
              <w:right w:val="single" w:sz="8" w:space="0" w:color="45A7E1"/>
            </w:tcBorders>
            <w:shd w:val="clear" w:color="000000" w:fill="DBE4ED"/>
            <w:noWrap/>
            <w:vAlign w:val="center"/>
          </w:tcPr>
          <w:p w14:paraId="3998755D" w14:textId="2C4F4513" w:rsidR="00147B71" w:rsidRPr="003506E5" w:rsidRDefault="00147B71" w:rsidP="00E94F5B">
            <w:pPr>
              <w:spacing w:after="0" w:line="240" w:lineRule="auto"/>
              <w:jc w:val="center"/>
              <w:rPr>
                <w:rFonts w:asciiTheme="minorHAnsi" w:eastAsia="Times New Roman" w:hAnsiTheme="minorHAnsi" w:cstheme="minorHAnsi"/>
                <w:color w:val="000000"/>
                <w:sz w:val="20"/>
                <w:szCs w:val="20"/>
                <w:lang w:eastAsia="en-US"/>
              </w:rPr>
            </w:pPr>
            <w:r w:rsidRPr="003506E5">
              <w:rPr>
                <w:rFonts w:asciiTheme="minorHAnsi" w:eastAsia="Times New Roman" w:hAnsiTheme="minorHAnsi" w:cstheme="minorHAnsi"/>
                <w:color w:val="000000"/>
                <w:sz w:val="20"/>
                <w:szCs w:val="20"/>
                <w:lang w:eastAsia="en-US"/>
              </w:rPr>
              <w:t>0</w:t>
            </w:r>
          </w:p>
        </w:tc>
        <w:tc>
          <w:tcPr>
            <w:tcW w:w="1195" w:type="dxa"/>
            <w:tcBorders>
              <w:top w:val="nil"/>
              <w:left w:val="nil"/>
              <w:bottom w:val="single" w:sz="8" w:space="0" w:color="45A7E1"/>
              <w:right w:val="single" w:sz="8" w:space="0" w:color="45A7E1"/>
            </w:tcBorders>
            <w:shd w:val="clear" w:color="000000" w:fill="DBE4ED"/>
            <w:noWrap/>
            <w:vAlign w:val="center"/>
          </w:tcPr>
          <w:p w14:paraId="28DB3D24" w14:textId="27A81632" w:rsidR="00147B71" w:rsidRPr="003506E5" w:rsidRDefault="00147B71" w:rsidP="00E94F5B">
            <w:pPr>
              <w:spacing w:after="0" w:line="240" w:lineRule="auto"/>
              <w:jc w:val="center"/>
              <w:rPr>
                <w:rFonts w:asciiTheme="minorHAnsi" w:eastAsia="Times New Roman" w:hAnsiTheme="minorHAnsi" w:cstheme="minorHAnsi"/>
                <w:color w:val="000000"/>
                <w:sz w:val="20"/>
                <w:szCs w:val="20"/>
                <w:lang w:eastAsia="en-US"/>
              </w:rPr>
            </w:pPr>
            <w:r w:rsidRPr="003506E5">
              <w:rPr>
                <w:rFonts w:asciiTheme="minorHAnsi" w:hAnsiTheme="minorHAnsi" w:cstheme="minorHAnsi"/>
                <w:color w:val="000000"/>
                <w:sz w:val="20"/>
                <w:szCs w:val="20"/>
              </w:rPr>
              <w:t>16</w:t>
            </w:r>
          </w:p>
        </w:tc>
        <w:tc>
          <w:tcPr>
            <w:tcW w:w="960" w:type="dxa"/>
            <w:tcBorders>
              <w:top w:val="nil"/>
              <w:left w:val="nil"/>
              <w:bottom w:val="single" w:sz="8" w:space="0" w:color="45A7E1"/>
              <w:right w:val="single" w:sz="8" w:space="0" w:color="45A7E1"/>
            </w:tcBorders>
            <w:shd w:val="clear" w:color="000000" w:fill="DBE4ED"/>
            <w:noWrap/>
            <w:vAlign w:val="center"/>
          </w:tcPr>
          <w:p w14:paraId="7DC54512" w14:textId="7D92202E" w:rsidR="00147B71" w:rsidRPr="003506E5" w:rsidRDefault="00147B71" w:rsidP="00E94F5B">
            <w:pPr>
              <w:spacing w:after="0" w:line="240" w:lineRule="auto"/>
              <w:jc w:val="center"/>
              <w:rPr>
                <w:rFonts w:asciiTheme="minorHAnsi" w:eastAsia="Times New Roman" w:hAnsiTheme="minorHAnsi" w:cstheme="minorHAnsi"/>
                <w:color w:val="000000"/>
                <w:sz w:val="20"/>
                <w:szCs w:val="20"/>
                <w:lang w:eastAsia="en-US"/>
              </w:rPr>
            </w:pPr>
            <w:r w:rsidRPr="003506E5">
              <w:rPr>
                <w:rFonts w:asciiTheme="minorHAnsi" w:eastAsia="Times New Roman" w:hAnsiTheme="minorHAnsi" w:cstheme="minorHAnsi"/>
                <w:color w:val="000000"/>
                <w:sz w:val="20"/>
                <w:szCs w:val="20"/>
                <w:lang w:eastAsia="en-US"/>
              </w:rPr>
              <w:fldChar w:fldCharType="begin"/>
            </w:r>
            <w:r w:rsidRPr="003506E5">
              <w:rPr>
                <w:rFonts w:asciiTheme="minorHAnsi" w:eastAsia="Times New Roman" w:hAnsiTheme="minorHAnsi" w:cstheme="minorHAnsi"/>
                <w:color w:val="000000"/>
                <w:sz w:val="20"/>
                <w:szCs w:val="20"/>
                <w:lang w:eastAsia="en-US"/>
              </w:rPr>
              <w:instrText xml:space="preserve"> =SUM(left) </w:instrText>
            </w:r>
            <w:r w:rsidRPr="003506E5">
              <w:rPr>
                <w:rFonts w:asciiTheme="minorHAnsi" w:eastAsia="Times New Roman" w:hAnsiTheme="minorHAnsi" w:cstheme="minorHAnsi"/>
                <w:color w:val="000000"/>
                <w:sz w:val="20"/>
                <w:szCs w:val="20"/>
                <w:lang w:eastAsia="en-US"/>
              </w:rPr>
              <w:fldChar w:fldCharType="separate"/>
            </w:r>
            <w:r w:rsidRPr="003506E5">
              <w:rPr>
                <w:rFonts w:asciiTheme="minorHAnsi" w:eastAsia="Times New Roman" w:hAnsiTheme="minorHAnsi" w:cstheme="minorHAnsi"/>
                <w:noProof/>
                <w:color w:val="000000"/>
                <w:sz w:val="20"/>
                <w:szCs w:val="20"/>
                <w:lang w:eastAsia="en-US"/>
              </w:rPr>
              <w:t>24</w:t>
            </w:r>
            <w:r w:rsidRPr="003506E5">
              <w:rPr>
                <w:rFonts w:asciiTheme="minorHAnsi" w:eastAsia="Times New Roman" w:hAnsiTheme="minorHAnsi" w:cstheme="minorHAnsi"/>
                <w:color w:val="000000"/>
                <w:sz w:val="20"/>
                <w:szCs w:val="20"/>
                <w:lang w:eastAsia="en-US"/>
              </w:rPr>
              <w:fldChar w:fldCharType="end"/>
            </w:r>
          </w:p>
        </w:tc>
      </w:tr>
      <w:tr w:rsidR="00147B71" w:rsidRPr="003506E5" w14:paraId="66E9BF61" w14:textId="77777777" w:rsidTr="0098309B">
        <w:trPr>
          <w:trHeight w:val="317"/>
        </w:trPr>
        <w:tc>
          <w:tcPr>
            <w:tcW w:w="3325" w:type="dxa"/>
            <w:tcBorders>
              <w:top w:val="nil"/>
              <w:left w:val="single" w:sz="8" w:space="0" w:color="45A7E1"/>
              <w:bottom w:val="single" w:sz="8" w:space="0" w:color="45A7E1"/>
              <w:right w:val="single" w:sz="8" w:space="0" w:color="45A7E1"/>
            </w:tcBorders>
            <w:shd w:val="clear" w:color="000000" w:fill="DBE4ED"/>
            <w:vAlign w:val="bottom"/>
            <w:hideMark/>
          </w:tcPr>
          <w:p w14:paraId="24FA4C4E" w14:textId="0E0B72B6" w:rsidR="00147B71" w:rsidRPr="003506E5" w:rsidRDefault="00147B71" w:rsidP="00147B71">
            <w:pPr>
              <w:spacing w:after="0" w:line="240" w:lineRule="auto"/>
              <w:rPr>
                <w:rFonts w:asciiTheme="minorHAnsi" w:eastAsia="Times New Roman" w:hAnsiTheme="minorHAnsi" w:cstheme="minorHAnsi"/>
                <w:color w:val="000000"/>
                <w:sz w:val="20"/>
                <w:szCs w:val="20"/>
                <w:lang w:eastAsia="en-US"/>
              </w:rPr>
            </w:pPr>
            <w:r w:rsidRPr="003506E5">
              <w:rPr>
                <w:rFonts w:asciiTheme="minorHAnsi" w:hAnsiTheme="minorHAnsi" w:cstheme="minorHAnsi"/>
                <w:color w:val="000000"/>
                <w:sz w:val="20"/>
                <w:szCs w:val="20"/>
              </w:rPr>
              <w:t>Normal Delivery</w:t>
            </w:r>
          </w:p>
        </w:tc>
        <w:tc>
          <w:tcPr>
            <w:tcW w:w="1440" w:type="dxa"/>
            <w:tcBorders>
              <w:top w:val="nil"/>
              <w:left w:val="nil"/>
              <w:bottom w:val="single" w:sz="8" w:space="0" w:color="45A7E1"/>
              <w:right w:val="single" w:sz="8" w:space="0" w:color="45A7E1"/>
            </w:tcBorders>
            <w:shd w:val="clear" w:color="000000" w:fill="DBE4ED"/>
            <w:noWrap/>
            <w:vAlign w:val="center"/>
          </w:tcPr>
          <w:p w14:paraId="314E0CC7" w14:textId="7B7FC9DB" w:rsidR="00147B71" w:rsidRPr="003506E5" w:rsidRDefault="00147B71" w:rsidP="00E94F5B">
            <w:pPr>
              <w:spacing w:after="0" w:line="240" w:lineRule="auto"/>
              <w:jc w:val="center"/>
              <w:rPr>
                <w:rFonts w:asciiTheme="minorHAnsi" w:eastAsia="Times New Roman" w:hAnsiTheme="minorHAnsi" w:cstheme="minorHAnsi"/>
                <w:color w:val="000000"/>
                <w:sz w:val="20"/>
                <w:szCs w:val="20"/>
                <w:lang w:eastAsia="en-US"/>
              </w:rPr>
            </w:pPr>
            <w:r w:rsidRPr="003506E5">
              <w:rPr>
                <w:rFonts w:asciiTheme="minorHAnsi" w:hAnsiTheme="minorHAnsi" w:cstheme="minorHAnsi"/>
                <w:color w:val="000000"/>
                <w:sz w:val="20"/>
                <w:szCs w:val="20"/>
              </w:rPr>
              <w:t>2</w:t>
            </w:r>
          </w:p>
        </w:tc>
        <w:tc>
          <w:tcPr>
            <w:tcW w:w="1170" w:type="dxa"/>
            <w:tcBorders>
              <w:top w:val="nil"/>
              <w:left w:val="nil"/>
              <w:bottom w:val="single" w:sz="8" w:space="0" w:color="45A7E1"/>
              <w:right w:val="single" w:sz="8" w:space="0" w:color="45A7E1"/>
            </w:tcBorders>
            <w:shd w:val="clear" w:color="000000" w:fill="DBE4ED"/>
            <w:noWrap/>
            <w:vAlign w:val="center"/>
          </w:tcPr>
          <w:p w14:paraId="1A4CE9DD" w14:textId="0A5EBF05" w:rsidR="00147B71" w:rsidRPr="003506E5" w:rsidRDefault="00147B71" w:rsidP="00E94F5B">
            <w:pPr>
              <w:spacing w:after="0" w:line="240" w:lineRule="auto"/>
              <w:jc w:val="center"/>
              <w:rPr>
                <w:rFonts w:asciiTheme="minorHAnsi" w:eastAsia="Times New Roman" w:hAnsiTheme="minorHAnsi" w:cstheme="minorHAnsi"/>
                <w:color w:val="000000"/>
                <w:sz w:val="20"/>
                <w:szCs w:val="20"/>
                <w:lang w:eastAsia="en-US"/>
              </w:rPr>
            </w:pPr>
            <w:r w:rsidRPr="003506E5">
              <w:rPr>
                <w:rFonts w:asciiTheme="minorHAnsi" w:eastAsia="Times New Roman" w:hAnsiTheme="minorHAnsi" w:cstheme="minorHAnsi"/>
                <w:color w:val="000000"/>
                <w:sz w:val="20"/>
                <w:szCs w:val="20"/>
                <w:lang w:eastAsia="en-US"/>
              </w:rPr>
              <w:t>0</w:t>
            </w:r>
          </w:p>
        </w:tc>
        <w:tc>
          <w:tcPr>
            <w:tcW w:w="1170" w:type="dxa"/>
            <w:tcBorders>
              <w:top w:val="nil"/>
              <w:left w:val="nil"/>
              <w:bottom w:val="single" w:sz="8" w:space="0" w:color="45A7E1"/>
              <w:right w:val="single" w:sz="8" w:space="0" w:color="45A7E1"/>
            </w:tcBorders>
            <w:shd w:val="clear" w:color="000000" w:fill="DBE4ED"/>
            <w:noWrap/>
            <w:vAlign w:val="center"/>
          </w:tcPr>
          <w:p w14:paraId="13B48646" w14:textId="1FF906C9" w:rsidR="00147B71" w:rsidRPr="003506E5" w:rsidRDefault="00147B71" w:rsidP="00E94F5B">
            <w:pPr>
              <w:spacing w:after="0" w:line="240" w:lineRule="auto"/>
              <w:jc w:val="center"/>
              <w:rPr>
                <w:rFonts w:asciiTheme="minorHAnsi" w:eastAsia="Times New Roman" w:hAnsiTheme="minorHAnsi" w:cstheme="minorHAnsi"/>
                <w:color w:val="000000"/>
                <w:sz w:val="20"/>
                <w:szCs w:val="20"/>
                <w:lang w:eastAsia="en-US"/>
              </w:rPr>
            </w:pPr>
            <w:r w:rsidRPr="003506E5">
              <w:rPr>
                <w:rFonts w:asciiTheme="minorHAnsi" w:eastAsia="Times New Roman" w:hAnsiTheme="minorHAnsi" w:cstheme="minorHAnsi"/>
                <w:color w:val="000000"/>
                <w:sz w:val="20"/>
                <w:szCs w:val="20"/>
                <w:lang w:eastAsia="en-US"/>
              </w:rPr>
              <w:t>0</w:t>
            </w:r>
          </w:p>
        </w:tc>
        <w:tc>
          <w:tcPr>
            <w:tcW w:w="1195" w:type="dxa"/>
            <w:tcBorders>
              <w:top w:val="nil"/>
              <w:left w:val="nil"/>
              <w:bottom w:val="single" w:sz="8" w:space="0" w:color="45A7E1"/>
              <w:right w:val="single" w:sz="8" w:space="0" w:color="45A7E1"/>
            </w:tcBorders>
            <w:shd w:val="clear" w:color="000000" w:fill="DBE4ED"/>
            <w:noWrap/>
            <w:vAlign w:val="center"/>
          </w:tcPr>
          <w:p w14:paraId="0F8FEDBF" w14:textId="766839C1" w:rsidR="00147B71" w:rsidRPr="003506E5" w:rsidRDefault="00147B71" w:rsidP="00E94F5B">
            <w:pPr>
              <w:spacing w:after="0" w:line="240" w:lineRule="auto"/>
              <w:jc w:val="center"/>
              <w:rPr>
                <w:rFonts w:asciiTheme="minorHAnsi" w:eastAsia="Times New Roman" w:hAnsiTheme="minorHAnsi" w:cstheme="minorHAnsi"/>
                <w:color w:val="000000"/>
                <w:sz w:val="20"/>
                <w:szCs w:val="20"/>
                <w:lang w:eastAsia="en-US"/>
              </w:rPr>
            </w:pPr>
            <w:r w:rsidRPr="003506E5">
              <w:rPr>
                <w:rFonts w:asciiTheme="minorHAnsi" w:hAnsiTheme="minorHAnsi" w:cstheme="minorHAnsi"/>
                <w:color w:val="000000"/>
                <w:sz w:val="20"/>
                <w:szCs w:val="20"/>
              </w:rPr>
              <w:t>16</w:t>
            </w:r>
          </w:p>
        </w:tc>
        <w:tc>
          <w:tcPr>
            <w:tcW w:w="960" w:type="dxa"/>
            <w:tcBorders>
              <w:top w:val="nil"/>
              <w:left w:val="nil"/>
              <w:bottom w:val="single" w:sz="8" w:space="0" w:color="45A7E1"/>
              <w:right w:val="single" w:sz="8" w:space="0" w:color="45A7E1"/>
            </w:tcBorders>
            <w:shd w:val="clear" w:color="000000" w:fill="DBE4ED"/>
            <w:noWrap/>
            <w:vAlign w:val="center"/>
          </w:tcPr>
          <w:p w14:paraId="1FA06259" w14:textId="6BAFF8E3" w:rsidR="00147B71" w:rsidRPr="003506E5" w:rsidRDefault="00147B71" w:rsidP="00E94F5B">
            <w:pPr>
              <w:spacing w:after="0" w:line="240" w:lineRule="auto"/>
              <w:jc w:val="center"/>
              <w:rPr>
                <w:rFonts w:asciiTheme="minorHAnsi" w:eastAsia="Times New Roman" w:hAnsiTheme="minorHAnsi" w:cstheme="minorHAnsi"/>
                <w:color w:val="000000"/>
                <w:sz w:val="20"/>
                <w:szCs w:val="20"/>
                <w:lang w:eastAsia="en-US"/>
              </w:rPr>
            </w:pPr>
            <w:r w:rsidRPr="003506E5">
              <w:rPr>
                <w:rFonts w:asciiTheme="minorHAnsi" w:eastAsia="Times New Roman" w:hAnsiTheme="minorHAnsi" w:cstheme="minorHAnsi"/>
                <w:color w:val="000000"/>
                <w:sz w:val="20"/>
                <w:szCs w:val="20"/>
                <w:lang w:eastAsia="en-US"/>
              </w:rPr>
              <w:fldChar w:fldCharType="begin"/>
            </w:r>
            <w:r w:rsidRPr="003506E5">
              <w:rPr>
                <w:rFonts w:asciiTheme="minorHAnsi" w:eastAsia="Times New Roman" w:hAnsiTheme="minorHAnsi" w:cstheme="minorHAnsi"/>
                <w:color w:val="000000"/>
                <w:sz w:val="20"/>
                <w:szCs w:val="20"/>
                <w:lang w:eastAsia="en-US"/>
              </w:rPr>
              <w:instrText xml:space="preserve"> =SUM(left) </w:instrText>
            </w:r>
            <w:r w:rsidRPr="003506E5">
              <w:rPr>
                <w:rFonts w:asciiTheme="minorHAnsi" w:eastAsia="Times New Roman" w:hAnsiTheme="minorHAnsi" w:cstheme="minorHAnsi"/>
                <w:color w:val="000000"/>
                <w:sz w:val="20"/>
                <w:szCs w:val="20"/>
                <w:lang w:eastAsia="en-US"/>
              </w:rPr>
              <w:fldChar w:fldCharType="separate"/>
            </w:r>
            <w:r w:rsidRPr="003506E5">
              <w:rPr>
                <w:rFonts w:asciiTheme="minorHAnsi" w:eastAsia="Times New Roman" w:hAnsiTheme="minorHAnsi" w:cstheme="minorHAnsi"/>
                <w:noProof/>
                <w:color w:val="000000"/>
                <w:sz w:val="20"/>
                <w:szCs w:val="20"/>
                <w:lang w:eastAsia="en-US"/>
              </w:rPr>
              <w:t>18</w:t>
            </w:r>
            <w:r w:rsidRPr="003506E5">
              <w:rPr>
                <w:rFonts w:asciiTheme="minorHAnsi" w:eastAsia="Times New Roman" w:hAnsiTheme="minorHAnsi" w:cstheme="minorHAnsi"/>
                <w:color w:val="000000"/>
                <w:sz w:val="20"/>
                <w:szCs w:val="20"/>
                <w:lang w:eastAsia="en-US"/>
              </w:rPr>
              <w:fldChar w:fldCharType="end"/>
            </w:r>
          </w:p>
        </w:tc>
      </w:tr>
      <w:tr w:rsidR="00147B71" w:rsidRPr="003506E5" w14:paraId="59B5D1D4" w14:textId="77777777" w:rsidTr="0098309B">
        <w:trPr>
          <w:trHeight w:val="317"/>
        </w:trPr>
        <w:tc>
          <w:tcPr>
            <w:tcW w:w="3325" w:type="dxa"/>
            <w:tcBorders>
              <w:top w:val="nil"/>
              <w:left w:val="single" w:sz="8" w:space="0" w:color="45A7E1"/>
              <w:bottom w:val="single" w:sz="8" w:space="0" w:color="45A7E1"/>
              <w:right w:val="single" w:sz="8" w:space="0" w:color="45A7E1"/>
            </w:tcBorders>
            <w:shd w:val="clear" w:color="000000" w:fill="DBE4ED"/>
            <w:vAlign w:val="bottom"/>
            <w:hideMark/>
          </w:tcPr>
          <w:p w14:paraId="305FDE48" w14:textId="0EE34487" w:rsidR="00147B71" w:rsidRPr="003506E5" w:rsidRDefault="00147B71" w:rsidP="00147B71">
            <w:pPr>
              <w:spacing w:after="0" w:line="240" w:lineRule="auto"/>
              <w:rPr>
                <w:rFonts w:asciiTheme="minorHAnsi" w:eastAsia="Times New Roman" w:hAnsiTheme="minorHAnsi" w:cstheme="minorHAnsi"/>
                <w:color w:val="000000"/>
                <w:sz w:val="20"/>
                <w:szCs w:val="20"/>
                <w:lang w:eastAsia="en-US"/>
              </w:rPr>
            </w:pPr>
            <w:r w:rsidRPr="003506E5">
              <w:rPr>
                <w:rFonts w:asciiTheme="minorHAnsi" w:hAnsiTheme="minorHAnsi" w:cstheme="minorHAnsi"/>
                <w:color w:val="000000"/>
                <w:sz w:val="20"/>
                <w:szCs w:val="20"/>
              </w:rPr>
              <w:t>Abdominal Pain</w:t>
            </w:r>
          </w:p>
        </w:tc>
        <w:tc>
          <w:tcPr>
            <w:tcW w:w="1440" w:type="dxa"/>
            <w:tcBorders>
              <w:top w:val="nil"/>
              <w:left w:val="nil"/>
              <w:bottom w:val="single" w:sz="8" w:space="0" w:color="45A7E1"/>
              <w:right w:val="single" w:sz="8" w:space="0" w:color="45A7E1"/>
            </w:tcBorders>
            <w:shd w:val="clear" w:color="000000" w:fill="DBE4ED"/>
            <w:noWrap/>
            <w:vAlign w:val="center"/>
          </w:tcPr>
          <w:p w14:paraId="68DF352A" w14:textId="706FCA9F" w:rsidR="00147B71" w:rsidRPr="003506E5" w:rsidRDefault="00147B71" w:rsidP="00E94F5B">
            <w:pPr>
              <w:spacing w:after="0" w:line="240" w:lineRule="auto"/>
              <w:jc w:val="center"/>
              <w:rPr>
                <w:rFonts w:asciiTheme="minorHAnsi" w:eastAsia="Times New Roman" w:hAnsiTheme="minorHAnsi" w:cstheme="minorHAnsi"/>
                <w:color w:val="000000"/>
                <w:sz w:val="20"/>
                <w:szCs w:val="20"/>
                <w:lang w:eastAsia="en-US"/>
              </w:rPr>
            </w:pPr>
            <w:r w:rsidRPr="003506E5">
              <w:rPr>
                <w:rFonts w:asciiTheme="minorHAnsi" w:hAnsiTheme="minorHAnsi" w:cstheme="minorHAnsi"/>
                <w:color w:val="000000"/>
                <w:sz w:val="20"/>
                <w:szCs w:val="20"/>
              </w:rPr>
              <w:t>5</w:t>
            </w:r>
          </w:p>
        </w:tc>
        <w:tc>
          <w:tcPr>
            <w:tcW w:w="1170" w:type="dxa"/>
            <w:tcBorders>
              <w:top w:val="nil"/>
              <w:left w:val="nil"/>
              <w:bottom w:val="single" w:sz="8" w:space="0" w:color="45A7E1"/>
              <w:right w:val="single" w:sz="8" w:space="0" w:color="45A7E1"/>
            </w:tcBorders>
            <w:shd w:val="clear" w:color="000000" w:fill="DBE4ED"/>
            <w:noWrap/>
            <w:vAlign w:val="center"/>
          </w:tcPr>
          <w:p w14:paraId="56077143" w14:textId="0BBD1D8A" w:rsidR="00147B71" w:rsidRPr="003506E5" w:rsidRDefault="00147B71" w:rsidP="00E94F5B">
            <w:pPr>
              <w:spacing w:after="0" w:line="240" w:lineRule="auto"/>
              <w:jc w:val="center"/>
              <w:rPr>
                <w:rFonts w:asciiTheme="minorHAnsi" w:eastAsia="Times New Roman" w:hAnsiTheme="minorHAnsi" w:cstheme="minorHAnsi"/>
                <w:color w:val="000000"/>
                <w:sz w:val="20"/>
                <w:szCs w:val="20"/>
                <w:lang w:eastAsia="en-US"/>
              </w:rPr>
            </w:pPr>
            <w:r w:rsidRPr="003506E5">
              <w:rPr>
                <w:rFonts w:asciiTheme="minorHAnsi" w:hAnsiTheme="minorHAnsi" w:cstheme="minorHAnsi"/>
                <w:color w:val="000000"/>
                <w:sz w:val="20"/>
                <w:szCs w:val="20"/>
              </w:rPr>
              <w:t>1</w:t>
            </w:r>
          </w:p>
        </w:tc>
        <w:tc>
          <w:tcPr>
            <w:tcW w:w="1170" w:type="dxa"/>
            <w:tcBorders>
              <w:top w:val="nil"/>
              <w:left w:val="nil"/>
              <w:bottom w:val="single" w:sz="8" w:space="0" w:color="45A7E1"/>
              <w:right w:val="single" w:sz="8" w:space="0" w:color="45A7E1"/>
            </w:tcBorders>
            <w:shd w:val="clear" w:color="000000" w:fill="DBE4ED"/>
            <w:noWrap/>
            <w:vAlign w:val="center"/>
          </w:tcPr>
          <w:p w14:paraId="7690EB7B" w14:textId="177C86CB" w:rsidR="00147B71" w:rsidRPr="003506E5" w:rsidRDefault="00147B71" w:rsidP="00E94F5B">
            <w:pPr>
              <w:spacing w:after="0" w:line="240" w:lineRule="auto"/>
              <w:jc w:val="center"/>
              <w:rPr>
                <w:rFonts w:asciiTheme="minorHAnsi" w:eastAsia="Times New Roman" w:hAnsiTheme="minorHAnsi" w:cstheme="minorHAnsi"/>
                <w:color w:val="000000"/>
                <w:sz w:val="20"/>
                <w:szCs w:val="20"/>
                <w:lang w:eastAsia="en-US"/>
              </w:rPr>
            </w:pPr>
            <w:r w:rsidRPr="003506E5">
              <w:rPr>
                <w:rFonts w:asciiTheme="minorHAnsi" w:hAnsiTheme="minorHAnsi" w:cstheme="minorHAnsi"/>
                <w:color w:val="000000"/>
                <w:sz w:val="20"/>
                <w:szCs w:val="20"/>
              </w:rPr>
              <w:t>2</w:t>
            </w:r>
          </w:p>
        </w:tc>
        <w:tc>
          <w:tcPr>
            <w:tcW w:w="1195" w:type="dxa"/>
            <w:tcBorders>
              <w:top w:val="nil"/>
              <w:left w:val="nil"/>
              <w:bottom w:val="single" w:sz="8" w:space="0" w:color="45A7E1"/>
              <w:right w:val="single" w:sz="8" w:space="0" w:color="45A7E1"/>
            </w:tcBorders>
            <w:shd w:val="clear" w:color="000000" w:fill="DBE4ED"/>
            <w:noWrap/>
            <w:vAlign w:val="center"/>
          </w:tcPr>
          <w:p w14:paraId="30A6CD36" w14:textId="1F4BDFF5" w:rsidR="00147B71" w:rsidRPr="003506E5" w:rsidRDefault="00147B71" w:rsidP="00E94F5B">
            <w:pPr>
              <w:spacing w:after="0" w:line="240" w:lineRule="auto"/>
              <w:jc w:val="center"/>
              <w:rPr>
                <w:rFonts w:asciiTheme="minorHAnsi" w:eastAsia="Times New Roman" w:hAnsiTheme="minorHAnsi" w:cstheme="minorHAnsi"/>
                <w:color w:val="000000"/>
                <w:sz w:val="20"/>
                <w:szCs w:val="20"/>
                <w:lang w:eastAsia="en-US"/>
              </w:rPr>
            </w:pPr>
            <w:r w:rsidRPr="003506E5">
              <w:rPr>
                <w:rFonts w:asciiTheme="minorHAnsi" w:hAnsiTheme="minorHAnsi" w:cstheme="minorHAnsi"/>
                <w:color w:val="000000"/>
                <w:sz w:val="20"/>
                <w:szCs w:val="20"/>
              </w:rPr>
              <w:t>8</w:t>
            </w:r>
          </w:p>
        </w:tc>
        <w:tc>
          <w:tcPr>
            <w:tcW w:w="960" w:type="dxa"/>
            <w:tcBorders>
              <w:top w:val="nil"/>
              <w:left w:val="nil"/>
              <w:bottom w:val="single" w:sz="8" w:space="0" w:color="45A7E1"/>
              <w:right w:val="single" w:sz="8" w:space="0" w:color="45A7E1"/>
            </w:tcBorders>
            <w:shd w:val="clear" w:color="000000" w:fill="DBE4ED"/>
            <w:noWrap/>
            <w:vAlign w:val="center"/>
          </w:tcPr>
          <w:p w14:paraId="0A1B7074" w14:textId="6D66541A" w:rsidR="00147B71" w:rsidRPr="003506E5" w:rsidRDefault="00147B71" w:rsidP="00E94F5B">
            <w:pPr>
              <w:spacing w:after="0" w:line="240" w:lineRule="auto"/>
              <w:jc w:val="center"/>
              <w:rPr>
                <w:rFonts w:asciiTheme="minorHAnsi" w:eastAsia="Times New Roman" w:hAnsiTheme="minorHAnsi" w:cstheme="minorHAnsi"/>
                <w:color w:val="000000"/>
                <w:sz w:val="20"/>
                <w:szCs w:val="20"/>
                <w:lang w:eastAsia="en-US"/>
              </w:rPr>
            </w:pPr>
            <w:r w:rsidRPr="003506E5">
              <w:rPr>
                <w:rFonts w:asciiTheme="minorHAnsi" w:eastAsia="Times New Roman" w:hAnsiTheme="minorHAnsi" w:cstheme="minorHAnsi"/>
                <w:color w:val="000000"/>
                <w:sz w:val="20"/>
                <w:szCs w:val="20"/>
                <w:lang w:eastAsia="en-US"/>
              </w:rPr>
              <w:t>16</w:t>
            </w:r>
          </w:p>
        </w:tc>
      </w:tr>
      <w:tr w:rsidR="00147B71" w:rsidRPr="003506E5" w14:paraId="125D13C4" w14:textId="77777777" w:rsidTr="0098309B">
        <w:trPr>
          <w:trHeight w:val="317"/>
        </w:trPr>
        <w:tc>
          <w:tcPr>
            <w:tcW w:w="3325" w:type="dxa"/>
            <w:tcBorders>
              <w:top w:val="nil"/>
              <w:left w:val="single" w:sz="8" w:space="0" w:color="45A7E1"/>
              <w:bottom w:val="single" w:sz="8" w:space="0" w:color="45A7E1"/>
              <w:right w:val="single" w:sz="8" w:space="0" w:color="45A7E1"/>
            </w:tcBorders>
            <w:shd w:val="clear" w:color="000000" w:fill="DBE4ED"/>
            <w:vAlign w:val="bottom"/>
            <w:hideMark/>
          </w:tcPr>
          <w:p w14:paraId="2F3F9AFE" w14:textId="1160FC46" w:rsidR="00147B71" w:rsidRPr="003506E5" w:rsidRDefault="00147B71" w:rsidP="00147B71">
            <w:pPr>
              <w:spacing w:after="0" w:line="240" w:lineRule="auto"/>
              <w:rPr>
                <w:rFonts w:asciiTheme="minorHAnsi" w:eastAsia="Times New Roman" w:hAnsiTheme="minorHAnsi" w:cstheme="minorHAnsi"/>
                <w:color w:val="000000"/>
                <w:sz w:val="20"/>
                <w:szCs w:val="20"/>
                <w:lang w:eastAsia="en-US"/>
              </w:rPr>
            </w:pPr>
            <w:r w:rsidRPr="003506E5">
              <w:rPr>
                <w:rFonts w:asciiTheme="minorHAnsi" w:hAnsiTheme="minorHAnsi" w:cstheme="minorHAnsi"/>
                <w:color w:val="000000"/>
                <w:sz w:val="20"/>
                <w:szCs w:val="20"/>
              </w:rPr>
              <w:t>Pregnancy, other complications</w:t>
            </w:r>
          </w:p>
        </w:tc>
        <w:tc>
          <w:tcPr>
            <w:tcW w:w="1440" w:type="dxa"/>
            <w:tcBorders>
              <w:top w:val="nil"/>
              <w:left w:val="nil"/>
              <w:bottom w:val="single" w:sz="8" w:space="0" w:color="45A7E1"/>
              <w:right w:val="single" w:sz="8" w:space="0" w:color="45A7E1"/>
            </w:tcBorders>
            <w:shd w:val="clear" w:color="000000" w:fill="DBE4ED"/>
            <w:noWrap/>
            <w:vAlign w:val="center"/>
          </w:tcPr>
          <w:p w14:paraId="3629C81C" w14:textId="712300A3" w:rsidR="00147B71" w:rsidRPr="003506E5" w:rsidRDefault="00147B71" w:rsidP="00E94F5B">
            <w:pPr>
              <w:spacing w:after="0" w:line="240" w:lineRule="auto"/>
              <w:jc w:val="center"/>
              <w:rPr>
                <w:rFonts w:asciiTheme="minorHAnsi" w:eastAsia="Times New Roman" w:hAnsiTheme="minorHAnsi" w:cstheme="minorHAnsi"/>
                <w:color w:val="000000"/>
                <w:sz w:val="20"/>
                <w:szCs w:val="20"/>
                <w:lang w:eastAsia="en-US"/>
              </w:rPr>
            </w:pPr>
            <w:r w:rsidRPr="003506E5">
              <w:rPr>
                <w:rFonts w:asciiTheme="minorHAnsi" w:hAnsiTheme="minorHAnsi" w:cstheme="minorHAnsi"/>
                <w:color w:val="000000"/>
                <w:sz w:val="20"/>
                <w:szCs w:val="20"/>
              </w:rPr>
              <w:t>6</w:t>
            </w:r>
          </w:p>
        </w:tc>
        <w:tc>
          <w:tcPr>
            <w:tcW w:w="1170" w:type="dxa"/>
            <w:tcBorders>
              <w:top w:val="nil"/>
              <w:left w:val="nil"/>
              <w:bottom w:val="single" w:sz="8" w:space="0" w:color="45A7E1"/>
              <w:right w:val="single" w:sz="8" w:space="0" w:color="45A7E1"/>
            </w:tcBorders>
            <w:shd w:val="clear" w:color="000000" w:fill="DBE4ED"/>
            <w:noWrap/>
            <w:vAlign w:val="center"/>
          </w:tcPr>
          <w:p w14:paraId="7BEE98BC" w14:textId="66DC4E52" w:rsidR="00147B71" w:rsidRPr="003506E5" w:rsidRDefault="00147B71" w:rsidP="00E94F5B">
            <w:pPr>
              <w:spacing w:after="0" w:line="240" w:lineRule="auto"/>
              <w:jc w:val="center"/>
              <w:rPr>
                <w:rFonts w:asciiTheme="minorHAnsi" w:eastAsia="Times New Roman" w:hAnsiTheme="minorHAnsi" w:cstheme="minorHAnsi"/>
                <w:color w:val="000000"/>
                <w:sz w:val="20"/>
                <w:szCs w:val="20"/>
                <w:lang w:eastAsia="en-US"/>
              </w:rPr>
            </w:pPr>
            <w:r w:rsidRPr="003506E5">
              <w:rPr>
                <w:rFonts w:asciiTheme="minorHAnsi" w:hAnsiTheme="minorHAnsi" w:cstheme="minorHAnsi"/>
                <w:color w:val="000000"/>
                <w:sz w:val="20"/>
                <w:szCs w:val="20"/>
              </w:rPr>
              <w:t>1</w:t>
            </w:r>
          </w:p>
        </w:tc>
        <w:tc>
          <w:tcPr>
            <w:tcW w:w="1170" w:type="dxa"/>
            <w:tcBorders>
              <w:top w:val="nil"/>
              <w:left w:val="nil"/>
              <w:bottom w:val="single" w:sz="8" w:space="0" w:color="45A7E1"/>
              <w:right w:val="single" w:sz="8" w:space="0" w:color="45A7E1"/>
            </w:tcBorders>
            <w:shd w:val="clear" w:color="000000" w:fill="DBE4ED"/>
            <w:noWrap/>
            <w:vAlign w:val="center"/>
          </w:tcPr>
          <w:p w14:paraId="0B6657D7" w14:textId="1B162599" w:rsidR="00147B71" w:rsidRPr="003506E5" w:rsidRDefault="00147B71" w:rsidP="00E94F5B">
            <w:pPr>
              <w:spacing w:after="0" w:line="240" w:lineRule="auto"/>
              <w:jc w:val="center"/>
              <w:rPr>
                <w:rFonts w:asciiTheme="minorHAnsi" w:eastAsia="Times New Roman" w:hAnsiTheme="minorHAnsi" w:cstheme="minorHAnsi"/>
                <w:color w:val="000000"/>
                <w:sz w:val="20"/>
                <w:szCs w:val="20"/>
                <w:lang w:eastAsia="en-US"/>
              </w:rPr>
            </w:pPr>
            <w:r w:rsidRPr="003506E5">
              <w:rPr>
                <w:rFonts w:asciiTheme="minorHAnsi" w:eastAsia="Times New Roman" w:hAnsiTheme="minorHAnsi" w:cstheme="minorHAnsi"/>
                <w:color w:val="000000"/>
                <w:sz w:val="20"/>
                <w:szCs w:val="20"/>
                <w:lang w:eastAsia="en-US"/>
              </w:rPr>
              <w:t>0</w:t>
            </w:r>
          </w:p>
        </w:tc>
        <w:tc>
          <w:tcPr>
            <w:tcW w:w="1195" w:type="dxa"/>
            <w:tcBorders>
              <w:top w:val="nil"/>
              <w:left w:val="nil"/>
              <w:bottom w:val="single" w:sz="8" w:space="0" w:color="45A7E1"/>
              <w:right w:val="single" w:sz="8" w:space="0" w:color="45A7E1"/>
            </w:tcBorders>
            <w:shd w:val="clear" w:color="000000" w:fill="DBE4ED"/>
            <w:noWrap/>
            <w:vAlign w:val="center"/>
          </w:tcPr>
          <w:p w14:paraId="70448A2D" w14:textId="3CDB750C" w:rsidR="00147B71" w:rsidRPr="003506E5" w:rsidRDefault="00147B71" w:rsidP="00E94F5B">
            <w:pPr>
              <w:spacing w:after="0" w:line="240" w:lineRule="auto"/>
              <w:jc w:val="center"/>
              <w:rPr>
                <w:rFonts w:asciiTheme="minorHAnsi" w:eastAsia="Times New Roman" w:hAnsiTheme="minorHAnsi" w:cstheme="minorHAnsi"/>
                <w:color w:val="000000"/>
                <w:sz w:val="20"/>
                <w:szCs w:val="20"/>
                <w:lang w:eastAsia="en-US"/>
              </w:rPr>
            </w:pPr>
            <w:r w:rsidRPr="003506E5">
              <w:rPr>
                <w:rFonts w:asciiTheme="minorHAnsi" w:hAnsiTheme="minorHAnsi" w:cstheme="minorHAnsi"/>
                <w:color w:val="000000"/>
                <w:sz w:val="20"/>
                <w:szCs w:val="20"/>
              </w:rPr>
              <w:t>6</w:t>
            </w:r>
          </w:p>
        </w:tc>
        <w:tc>
          <w:tcPr>
            <w:tcW w:w="960" w:type="dxa"/>
            <w:tcBorders>
              <w:top w:val="nil"/>
              <w:left w:val="nil"/>
              <w:bottom w:val="single" w:sz="8" w:space="0" w:color="45A7E1"/>
              <w:right w:val="single" w:sz="8" w:space="0" w:color="45A7E1"/>
            </w:tcBorders>
            <w:shd w:val="clear" w:color="000000" w:fill="DBE4ED"/>
            <w:noWrap/>
            <w:vAlign w:val="center"/>
          </w:tcPr>
          <w:p w14:paraId="1075CD99" w14:textId="30310EE6" w:rsidR="00147B71" w:rsidRPr="003506E5" w:rsidRDefault="00147B71" w:rsidP="00E94F5B">
            <w:pPr>
              <w:spacing w:after="0" w:line="240" w:lineRule="auto"/>
              <w:jc w:val="center"/>
              <w:rPr>
                <w:rFonts w:asciiTheme="minorHAnsi" w:eastAsia="Times New Roman" w:hAnsiTheme="minorHAnsi" w:cstheme="minorHAnsi"/>
                <w:color w:val="000000"/>
                <w:sz w:val="20"/>
                <w:szCs w:val="20"/>
                <w:lang w:eastAsia="en-US"/>
              </w:rPr>
            </w:pPr>
            <w:r w:rsidRPr="003506E5">
              <w:rPr>
                <w:rFonts w:asciiTheme="minorHAnsi" w:eastAsia="Times New Roman" w:hAnsiTheme="minorHAnsi" w:cstheme="minorHAnsi"/>
                <w:color w:val="000000"/>
                <w:sz w:val="20"/>
                <w:szCs w:val="20"/>
                <w:lang w:eastAsia="en-US"/>
              </w:rPr>
              <w:t>13</w:t>
            </w:r>
          </w:p>
        </w:tc>
      </w:tr>
      <w:tr w:rsidR="00147B71" w:rsidRPr="003506E5" w14:paraId="63F93418" w14:textId="77777777" w:rsidTr="0098309B">
        <w:trPr>
          <w:trHeight w:val="317"/>
        </w:trPr>
        <w:tc>
          <w:tcPr>
            <w:tcW w:w="3325" w:type="dxa"/>
            <w:tcBorders>
              <w:top w:val="nil"/>
              <w:left w:val="single" w:sz="8" w:space="0" w:color="45A7E1"/>
              <w:bottom w:val="single" w:sz="8" w:space="0" w:color="45A7E1"/>
              <w:right w:val="single" w:sz="8" w:space="0" w:color="45A7E1"/>
            </w:tcBorders>
            <w:shd w:val="clear" w:color="000000" w:fill="DBE4ED"/>
            <w:vAlign w:val="bottom"/>
            <w:hideMark/>
          </w:tcPr>
          <w:p w14:paraId="17CC0DFD" w14:textId="78337E72" w:rsidR="00147B71" w:rsidRPr="003506E5" w:rsidRDefault="00147B71" w:rsidP="00147B71">
            <w:pPr>
              <w:spacing w:after="0" w:line="240" w:lineRule="auto"/>
              <w:rPr>
                <w:rFonts w:asciiTheme="minorHAnsi" w:eastAsia="Times New Roman" w:hAnsiTheme="minorHAnsi" w:cstheme="minorHAnsi"/>
                <w:color w:val="000000"/>
                <w:sz w:val="20"/>
                <w:szCs w:val="20"/>
                <w:lang w:eastAsia="en-US"/>
              </w:rPr>
            </w:pPr>
            <w:r w:rsidRPr="003506E5">
              <w:rPr>
                <w:rFonts w:asciiTheme="minorHAnsi" w:hAnsiTheme="minorHAnsi" w:cstheme="minorHAnsi"/>
                <w:color w:val="000000"/>
                <w:sz w:val="20"/>
                <w:szCs w:val="20"/>
              </w:rPr>
              <w:t>Cholelithiasis</w:t>
            </w:r>
          </w:p>
        </w:tc>
        <w:tc>
          <w:tcPr>
            <w:tcW w:w="1440" w:type="dxa"/>
            <w:tcBorders>
              <w:top w:val="nil"/>
              <w:left w:val="nil"/>
              <w:bottom w:val="single" w:sz="8" w:space="0" w:color="45A7E1"/>
              <w:right w:val="single" w:sz="8" w:space="0" w:color="45A7E1"/>
            </w:tcBorders>
            <w:shd w:val="clear" w:color="000000" w:fill="DBE4ED"/>
            <w:noWrap/>
            <w:vAlign w:val="center"/>
          </w:tcPr>
          <w:p w14:paraId="0A4156D7" w14:textId="2CB58937" w:rsidR="00147B71" w:rsidRPr="003506E5" w:rsidRDefault="00147B71" w:rsidP="00E94F5B">
            <w:pPr>
              <w:spacing w:after="0" w:line="240" w:lineRule="auto"/>
              <w:jc w:val="center"/>
              <w:rPr>
                <w:rFonts w:asciiTheme="minorHAnsi" w:eastAsia="Times New Roman" w:hAnsiTheme="minorHAnsi" w:cstheme="minorHAnsi"/>
                <w:color w:val="000000"/>
                <w:sz w:val="20"/>
                <w:szCs w:val="20"/>
                <w:lang w:eastAsia="en-US"/>
              </w:rPr>
            </w:pPr>
            <w:r w:rsidRPr="003506E5">
              <w:rPr>
                <w:rFonts w:asciiTheme="minorHAnsi" w:hAnsiTheme="minorHAnsi" w:cstheme="minorHAnsi"/>
                <w:color w:val="000000"/>
                <w:sz w:val="20"/>
                <w:szCs w:val="20"/>
              </w:rPr>
              <w:t>3</w:t>
            </w:r>
          </w:p>
        </w:tc>
        <w:tc>
          <w:tcPr>
            <w:tcW w:w="1170" w:type="dxa"/>
            <w:tcBorders>
              <w:top w:val="nil"/>
              <w:left w:val="nil"/>
              <w:bottom w:val="single" w:sz="8" w:space="0" w:color="45A7E1"/>
              <w:right w:val="single" w:sz="8" w:space="0" w:color="45A7E1"/>
            </w:tcBorders>
            <w:shd w:val="clear" w:color="000000" w:fill="DBE4ED"/>
            <w:noWrap/>
            <w:vAlign w:val="center"/>
          </w:tcPr>
          <w:p w14:paraId="07AD24DD" w14:textId="3024210A" w:rsidR="00147B71" w:rsidRPr="003506E5" w:rsidRDefault="00147B71" w:rsidP="00E94F5B">
            <w:pPr>
              <w:spacing w:after="0" w:line="240" w:lineRule="auto"/>
              <w:jc w:val="center"/>
              <w:rPr>
                <w:rFonts w:asciiTheme="minorHAnsi" w:eastAsia="Times New Roman" w:hAnsiTheme="minorHAnsi" w:cstheme="minorHAnsi"/>
                <w:color w:val="000000"/>
                <w:sz w:val="20"/>
                <w:szCs w:val="20"/>
                <w:lang w:eastAsia="en-US"/>
              </w:rPr>
            </w:pPr>
            <w:r w:rsidRPr="003506E5">
              <w:rPr>
                <w:rFonts w:asciiTheme="minorHAnsi" w:eastAsia="Times New Roman" w:hAnsiTheme="minorHAnsi" w:cstheme="minorHAnsi"/>
                <w:color w:val="000000"/>
                <w:sz w:val="20"/>
                <w:szCs w:val="20"/>
                <w:lang w:eastAsia="en-US"/>
              </w:rPr>
              <w:t>0</w:t>
            </w:r>
          </w:p>
        </w:tc>
        <w:tc>
          <w:tcPr>
            <w:tcW w:w="1170" w:type="dxa"/>
            <w:tcBorders>
              <w:top w:val="nil"/>
              <w:left w:val="nil"/>
              <w:bottom w:val="single" w:sz="8" w:space="0" w:color="45A7E1"/>
              <w:right w:val="single" w:sz="8" w:space="0" w:color="45A7E1"/>
            </w:tcBorders>
            <w:shd w:val="clear" w:color="000000" w:fill="DBE4ED"/>
            <w:noWrap/>
            <w:vAlign w:val="center"/>
          </w:tcPr>
          <w:p w14:paraId="186BF2F3" w14:textId="4A262C4B" w:rsidR="00147B71" w:rsidRPr="003506E5" w:rsidRDefault="00147B71" w:rsidP="00E94F5B">
            <w:pPr>
              <w:spacing w:after="0" w:line="240" w:lineRule="auto"/>
              <w:jc w:val="center"/>
              <w:rPr>
                <w:rFonts w:asciiTheme="minorHAnsi" w:eastAsia="Times New Roman" w:hAnsiTheme="minorHAnsi" w:cstheme="minorHAnsi"/>
                <w:color w:val="000000"/>
                <w:sz w:val="20"/>
                <w:szCs w:val="20"/>
                <w:lang w:eastAsia="en-US"/>
              </w:rPr>
            </w:pPr>
            <w:r w:rsidRPr="003506E5">
              <w:rPr>
                <w:rFonts w:asciiTheme="minorHAnsi" w:hAnsiTheme="minorHAnsi" w:cstheme="minorHAnsi"/>
                <w:color w:val="000000"/>
                <w:sz w:val="20"/>
                <w:szCs w:val="20"/>
              </w:rPr>
              <w:t>1</w:t>
            </w:r>
          </w:p>
        </w:tc>
        <w:tc>
          <w:tcPr>
            <w:tcW w:w="1195" w:type="dxa"/>
            <w:tcBorders>
              <w:top w:val="nil"/>
              <w:left w:val="nil"/>
              <w:bottom w:val="single" w:sz="8" w:space="0" w:color="45A7E1"/>
              <w:right w:val="single" w:sz="8" w:space="0" w:color="45A7E1"/>
            </w:tcBorders>
            <w:shd w:val="clear" w:color="000000" w:fill="DBE4ED"/>
            <w:noWrap/>
            <w:vAlign w:val="center"/>
          </w:tcPr>
          <w:p w14:paraId="005424C1" w14:textId="357E1868" w:rsidR="00147B71" w:rsidRPr="003506E5" w:rsidRDefault="00147B71" w:rsidP="00E94F5B">
            <w:pPr>
              <w:spacing w:after="0" w:line="240" w:lineRule="auto"/>
              <w:jc w:val="center"/>
              <w:rPr>
                <w:rFonts w:asciiTheme="minorHAnsi" w:eastAsia="Times New Roman" w:hAnsiTheme="minorHAnsi" w:cstheme="minorHAnsi"/>
                <w:color w:val="000000"/>
                <w:sz w:val="20"/>
                <w:szCs w:val="20"/>
                <w:lang w:eastAsia="en-US"/>
              </w:rPr>
            </w:pPr>
            <w:r w:rsidRPr="003506E5">
              <w:rPr>
                <w:rFonts w:asciiTheme="minorHAnsi" w:hAnsiTheme="minorHAnsi" w:cstheme="minorHAnsi"/>
                <w:color w:val="000000"/>
                <w:sz w:val="20"/>
                <w:szCs w:val="20"/>
              </w:rPr>
              <w:t>6</w:t>
            </w:r>
          </w:p>
        </w:tc>
        <w:tc>
          <w:tcPr>
            <w:tcW w:w="960" w:type="dxa"/>
            <w:tcBorders>
              <w:top w:val="nil"/>
              <w:left w:val="nil"/>
              <w:bottom w:val="single" w:sz="8" w:space="0" w:color="45A7E1"/>
              <w:right w:val="single" w:sz="8" w:space="0" w:color="45A7E1"/>
            </w:tcBorders>
            <w:shd w:val="clear" w:color="000000" w:fill="DBE4ED"/>
            <w:noWrap/>
            <w:vAlign w:val="center"/>
          </w:tcPr>
          <w:p w14:paraId="3712B6BD" w14:textId="4DF6BD4E" w:rsidR="00147B71" w:rsidRPr="003506E5" w:rsidRDefault="00147B71" w:rsidP="00E94F5B">
            <w:pPr>
              <w:spacing w:after="0" w:line="240" w:lineRule="auto"/>
              <w:jc w:val="center"/>
              <w:rPr>
                <w:rFonts w:asciiTheme="minorHAnsi" w:eastAsia="Times New Roman" w:hAnsiTheme="minorHAnsi" w:cstheme="minorHAnsi"/>
                <w:color w:val="000000"/>
                <w:sz w:val="20"/>
                <w:szCs w:val="20"/>
                <w:lang w:eastAsia="en-US"/>
              </w:rPr>
            </w:pPr>
            <w:r w:rsidRPr="003506E5">
              <w:rPr>
                <w:rFonts w:asciiTheme="minorHAnsi" w:eastAsia="Times New Roman" w:hAnsiTheme="minorHAnsi" w:cstheme="minorHAnsi"/>
                <w:color w:val="000000"/>
                <w:sz w:val="20"/>
                <w:szCs w:val="20"/>
                <w:lang w:eastAsia="en-US"/>
              </w:rPr>
              <w:t>10</w:t>
            </w:r>
          </w:p>
        </w:tc>
      </w:tr>
      <w:tr w:rsidR="00147B71" w:rsidRPr="003506E5" w14:paraId="5FA1EF8D" w14:textId="77777777" w:rsidTr="0098309B">
        <w:trPr>
          <w:trHeight w:val="317"/>
        </w:trPr>
        <w:tc>
          <w:tcPr>
            <w:tcW w:w="3325" w:type="dxa"/>
            <w:tcBorders>
              <w:top w:val="nil"/>
              <w:left w:val="single" w:sz="8" w:space="0" w:color="45A7E1"/>
              <w:bottom w:val="single" w:sz="8" w:space="0" w:color="45A7E1"/>
              <w:right w:val="single" w:sz="8" w:space="0" w:color="45A7E1"/>
            </w:tcBorders>
            <w:shd w:val="clear" w:color="000000" w:fill="DBE4ED"/>
            <w:vAlign w:val="bottom"/>
            <w:hideMark/>
          </w:tcPr>
          <w:p w14:paraId="6A507739" w14:textId="4EC40019" w:rsidR="00147B71" w:rsidRPr="003506E5" w:rsidRDefault="00147B71" w:rsidP="00147B71">
            <w:pPr>
              <w:spacing w:after="0" w:line="240" w:lineRule="auto"/>
              <w:rPr>
                <w:rFonts w:asciiTheme="minorHAnsi" w:eastAsia="Times New Roman" w:hAnsiTheme="minorHAnsi" w:cstheme="minorHAnsi"/>
                <w:color w:val="000000"/>
                <w:sz w:val="20"/>
                <w:szCs w:val="20"/>
                <w:lang w:eastAsia="en-US"/>
              </w:rPr>
            </w:pPr>
            <w:r w:rsidRPr="003506E5">
              <w:rPr>
                <w:rFonts w:asciiTheme="minorHAnsi" w:hAnsiTheme="minorHAnsi" w:cstheme="minorHAnsi"/>
                <w:color w:val="000000"/>
                <w:sz w:val="20"/>
                <w:szCs w:val="20"/>
              </w:rPr>
              <w:t xml:space="preserve">Fracture lower arm, </w:t>
            </w:r>
          </w:p>
        </w:tc>
        <w:tc>
          <w:tcPr>
            <w:tcW w:w="1440" w:type="dxa"/>
            <w:tcBorders>
              <w:top w:val="nil"/>
              <w:left w:val="nil"/>
              <w:bottom w:val="single" w:sz="8" w:space="0" w:color="45A7E1"/>
              <w:right w:val="single" w:sz="8" w:space="0" w:color="45A7E1"/>
            </w:tcBorders>
            <w:shd w:val="clear" w:color="000000" w:fill="DBE4ED"/>
            <w:noWrap/>
            <w:vAlign w:val="center"/>
          </w:tcPr>
          <w:p w14:paraId="2BFAC53D" w14:textId="4B5DCC43" w:rsidR="00147B71" w:rsidRPr="003506E5" w:rsidRDefault="00147B71" w:rsidP="00E94F5B">
            <w:pPr>
              <w:spacing w:after="0" w:line="240" w:lineRule="auto"/>
              <w:jc w:val="center"/>
              <w:rPr>
                <w:rFonts w:asciiTheme="minorHAnsi" w:eastAsia="Times New Roman" w:hAnsiTheme="minorHAnsi" w:cstheme="minorHAnsi"/>
                <w:color w:val="000000"/>
                <w:sz w:val="20"/>
                <w:szCs w:val="20"/>
                <w:lang w:eastAsia="en-US"/>
              </w:rPr>
            </w:pPr>
            <w:r w:rsidRPr="003506E5">
              <w:rPr>
                <w:rFonts w:asciiTheme="minorHAnsi" w:hAnsiTheme="minorHAnsi" w:cstheme="minorHAnsi"/>
                <w:color w:val="000000"/>
                <w:sz w:val="20"/>
                <w:szCs w:val="20"/>
              </w:rPr>
              <w:t>8</w:t>
            </w:r>
          </w:p>
        </w:tc>
        <w:tc>
          <w:tcPr>
            <w:tcW w:w="1170" w:type="dxa"/>
            <w:tcBorders>
              <w:top w:val="nil"/>
              <w:left w:val="nil"/>
              <w:bottom w:val="single" w:sz="8" w:space="0" w:color="45A7E1"/>
              <w:right w:val="single" w:sz="8" w:space="0" w:color="45A7E1"/>
            </w:tcBorders>
            <w:shd w:val="clear" w:color="000000" w:fill="DBE4ED"/>
            <w:noWrap/>
            <w:vAlign w:val="center"/>
          </w:tcPr>
          <w:p w14:paraId="4E6D6E7B" w14:textId="6871F28A" w:rsidR="00147B71" w:rsidRPr="003506E5" w:rsidRDefault="00147B71" w:rsidP="00E94F5B">
            <w:pPr>
              <w:spacing w:after="0" w:line="240" w:lineRule="auto"/>
              <w:jc w:val="center"/>
              <w:rPr>
                <w:rFonts w:asciiTheme="minorHAnsi" w:eastAsia="Times New Roman" w:hAnsiTheme="minorHAnsi" w:cstheme="minorHAnsi"/>
                <w:color w:val="000000"/>
                <w:sz w:val="20"/>
                <w:szCs w:val="20"/>
                <w:lang w:eastAsia="en-US"/>
              </w:rPr>
            </w:pPr>
            <w:r w:rsidRPr="003506E5">
              <w:rPr>
                <w:rFonts w:asciiTheme="minorHAnsi" w:hAnsiTheme="minorHAnsi" w:cstheme="minorHAnsi"/>
                <w:color w:val="000000"/>
                <w:sz w:val="20"/>
                <w:szCs w:val="20"/>
              </w:rPr>
              <w:t>1</w:t>
            </w:r>
          </w:p>
        </w:tc>
        <w:tc>
          <w:tcPr>
            <w:tcW w:w="1170" w:type="dxa"/>
            <w:tcBorders>
              <w:top w:val="nil"/>
              <w:left w:val="nil"/>
              <w:bottom w:val="single" w:sz="8" w:space="0" w:color="45A7E1"/>
              <w:right w:val="single" w:sz="8" w:space="0" w:color="45A7E1"/>
            </w:tcBorders>
            <w:shd w:val="clear" w:color="000000" w:fill="DBE4ED"/>
            <w:noWrap/>
            <w:vAlign w:val="center"/>
          </w:tcPr>
          <w:p w14:paraId="57343CCC" w14:textId="417B1B7B" w:rsidR="00147B71" w:rsidRPr="003506E5" w:rsidRDefault="00147B71" w:rsidP="00E94F5B">
            <w:pPr>
              <w:spacing w:after="0" w:line="240" w:lineRule="auto"/>
              <w:jc w:val="center"/>
              <w:rPr>
                <w:rFonts w:asciiTheme="minorHAnsi" w:eastAsia="Times New Roman" w:hAnsiTheme="minorHAnsi" w:cstheme="minorHAnsi"/>
                <w:color w:val="000000"/>
                <w:sz w:val="20"/>
                <w:szCs w:val="20"/>
                <w:lang w:eastAsia="en-US"/>
              </w:rPr>
            </w:pPr>
            <w:r w:rsidRPr="003506E5">
              <w:rPr>
                <w:rFonts w:asciiTheme="minorHAnsi" w:hAnsiTheme="minorHAnsi" w:cstheme="minorHAnsi"/>
                <w:color w:val="000000"/>
                <w:sz w:val="20"/>
                <w:szCs w:val="20"/>
              </w:rPr>
              <w:t>1</w:t>
            </w:r>
          </w:p>
        </w:tc>
        <w:tc>
          <w:tcPr>
            <w:tcW w:w="1195" w:type="dxa"/>
            <w:tcBorders>
              <w:top w:val="nil"/>
              <w:left w:val="nil"/>
              <w:bottom w:val="single" w:sz="8" w:space="0" w:color="45A7E1"/>
              <w:right w:val="single" w:sz="8" w:space="0" w:color="45A7E1"/>
            </w:tcBorders>
            <w:shd w:val="clear" w:color="000000" w:fill="DBE4ED"/>
            <w:noWrap/>
            <w:vAlign w:val="center"/>
          </w:tcPr>
          <w:p w14:paraId="0A0D4F54" w14:textId="16930371" w:rsidR="00147B71" w:rsidRPr="003506E5" w:rsidRDefault="00147B71" w:rsidP="00E94F5B">
            <w:pPr>
              <w:spacing w:after="0" w:line="240" w:lineRule="auto"/>
              <w:jc w:val="center"/>
              <w:rPr>
                <w:rFonts w:asciiTheme="minorHAnsi" w:eastAsia="Times New Roman" w:hAnsiTheme="minorHAnsi" w:cstheme="minorHAnsi"/>
                <w:color w:val="000000"/>
                <w:sz w:val="20"/>
                <w:szCs w:val="20"/>
                <w:lang w:eastAsia="en-US"/>
              </w:rPr>
            </w:pPr>
            <w:r w:rsidRPr="003506E5">
              <w:rPr>
                <w:rFonts w:asciiTheme="minorHAnsi" w:eastAsia="Times New Roman" w:hAnsiTheme="minorHAnsi" w:cstheme="minorHAnsi"/>
                <w:color w:val="000000"/>
                <w:sz w:val="20"/>
                <w:szCs w:val="20"/>
                <w:lang w:eastAsia="en-US"/>
              </w:rPr>
              <w:t>0</w:t>
            </w:r>
          </w:p>
        </w:tc>
        <w:tc>
          <w:tcPr>
            <w:tcW w:w="960" w:type="dxa"/>
            <w:tcBorders>
              <w:top w:val="nil"/>
              <w:left w:val="nil"/>
              <w:bottom w:val="single" w:sz="8" w:space="0" w:color="45A7E1"/>
              <w:right w:val="single" w:sz="8" w:space="0" w:color="45A7E1"/>
            </w:tcBorders>
            <w:shd w:val="clear" w:color="000000" w:fill="DBE4ED"/>
            <w:noWrap/>
            <w:vAlign w:val="center"/>
          </w:tcPr>
          <w:p w14:paraId="3BA90E9A" w14:textId="49DEC8FD" w:rsidR="00147B71" w:rsidRPr="003506E5" w:rsidRDefault="00147B71" w:rsidP="00E94F5B">
            <w:pPr>
              <w:spacing w:after="0" w:line="240" w:lineRule="auto"/>
              <w:jc w:val="center"/>
              <w:rPr>
                <w:rFonts w:asciiTheme="minorHAnsi" w:eastAsia="Times New Roman" w:hAnsiTheme="minorHAnsi" w:cstheme="minorHAnsi"/>
                <w:color w:val="000000"/>
                <w:sz w:val="20"/>
                <w:szCs w:val="20"/>
                <w:lang w:eastAsia="en-US"/>
              </w:rPr>
            </w:pPr>
            <w:r w:rsidRPr="003506E5">
              <w:rPr>
                <w:rFonts w:asciiTheme="minorHAnsi" w:eastAsia="Times New Roman" w:hAnsiTheme="minorHAnsi" w:cstheme="minorHAnsi"/>
                <w:color w:val="000000"/>
                <w:sz w:val="20"/>
                <w:szCs w:val="20"/>
                <w:lang w:eastAsia="en-US"/>
              </w:rPr>
              <w:t>10</w:t>
            </w:r>
          </w:p>
        </w:tc>
      </w:tr>
      <w:tr w:rsidR="00147B71" w:rsidRPr="003506E5" w14:paraId="22F5C310" w14:textId="77777777" w:rsidTr="0098309B">
        <w:trPr>
          <w:trHeight w:val="317"/>
        </w:trPr>
        <w:tc>
          <w:tcPr>
            <w:tcW w:w="3325" w:type="dxa"/>
            <w:tcBorders>
              <w:top w:val="nil"/>
              <w:left w:val="single" w:sz="8" w:space="0" w:color="45A7E1"/>
              <w:bottom w:val="single" w:sz="8" w:space="0" w:color="45A7E1"/>
              <w:right w:val="single" w:sz="8" w:space="0" w:color="45A7E1"/>
            </w:tcBorders>
            <w:shd w:val="clear" w:color="000000" w:fill="DBE4ED"/>
            <w:vAlign w:val="bottom"/>
            <w:hideMark/>
          </w:tcPr>
          <w:p w14:paraId="626FEA9C" w14:textId="6F65C07D" w:rsidR="00147B71" w:rsidRPr="003506E5" w:rsidRDefault="00147B71" w:rsidP="00147B71">
            <w:pPr>
              <w:spacing w:after="0" w:line="240" w:lineRule="auto"/>
              <w:rPr>
                <w:rFonts w:asciiTheme="minorHAnsi" w:eastAsia="Times New Roman" w:hAnsiTheme="minorHAnsi" w:cstheme="minorHAnsi"/>
                <w:color w:val="000000"/>
                <w:sz w:val="20"/>
                <w:szCs w:val="20"/>
                <w:lang w:eastAsia="en-US"/>
              </w:rPr>
            </w:pPr>
            <w:r w:rsidRPr="003506E5">
              <w:rPr>
                <w:rFonts w:asciiTheme="minorHAnsi" w:hAnsiTheme="minorHAnsi" w:cstheme="minorHAnsi"/>
                <w:color w:val="000000"/>
                <w:sz w:val="20"/>
                <w:szCs w:val="20"/>
              </w:rPr>
              <w:t>Hernia, inguinal, NOS, unilateral</w:t>
            </w:r>
          </w:p>
        </w:tc>
        <w:tc>
          <w:tcPr>
            <w:tcW w:w="1440" w:type="dxa"/>
            <w:tcBorders>
              <w:top w:val="nil"/>
              <w:left w:val="nil"/>
              <w:bottom w:val="single" w:sz="8" w:space="0" w:color="45A7E1"/>
              <w:right w:val="single" w:sz="8" w:space="0" w:color="45A7E1"/>
            </w:tcBorders>
            <w:shd w:val="clear" w:color="000000" w:fill="DBE4ED"/>
            <w:noWrap/>
            <w:vAlign w:val="center"/>
          </w:tcPr>
          <w:p w14:paraId="7A883C35" w14:textId="76728DEB" w:rsidR="00147B71" w:rsidRPr="003506E5" w:rsidRDefault="00147B71" w:rsidP="00E94F5B">
            <w:pPr>
              <w:spacing w:after="0" w:line="240" w:lineRule="auto"/>
              <w:jc w:val="center"/>
              <w:rPr>
                <w:rFonts w:asciiTheme="minorHAnsi" w:eastAsia="Times New Roman" w:hAnsiTheme="minorHAnsi" w:cstheme="minorHAnsi"/>
                <w:color w:val="000000"/>
                <w:sz w:val="20"/>
                <w:szCs w:val="20"/>
                <w:lang w:eastAsia="en-US"/>
              </w:rPr>
            </w:pPr>
            <w:r w:rsidRPr="003506E5">
              <w:rPr>
                <w:rFonts w:asciiTheme="minorHAnsi" w:hAnsiTheme="minorHAnsi" w:cstheme="minorHAnsi"/>
                <w:color w:val="000000"/>
                <w:sz w:val="20"/>
                <w:szCs w:val="20"/>
              </w:rPr>
              <w:t>4</w:t>
            </w:r>
          </w:p>
        </w:tc>
        <w:tc>
          <w:tcPr>
            <w:tcW w:w="1170" w:type="dxa"/>
            <w:tcBorders>
              <w:top w:val="nil"/>
              <w:left w:val="nil"/>
              <w:bottom w:val="single" w:sz="8" w:space="0" w:color="45A7E1"/>
              <w:right w:val="single" w:sz="8" w:space="0" w:color="45A7E1"/>
            </w:tcBorders>
            <w:shd w:val="clear" w:color="000000" w:fill="DBE4ED"/>
            <w:noWrap/>
            <w:vAlign w:val="center"/>
          </w:tcPr>
          <w:p w14:paraId="577ABFC7" w14:textId="32369FB6" w:rsidR="00147B71" w:rsidRPr="003506E5" w:rsidRDefault="00147B71" w:rsidP="00E94F5B">
            <w:pPr>
              <w:spacing w:after="0" w:line="240" w:lineRule="auto"/>
              <w:jc w:val="center"/>
              <w:rPr>
                <w:rFonts w:asciiTheme="minorHAnsi" w:eastAsia="Times New Roman" w:hAnsiTheme="minorHAnsi" w:cstheme="minorHAnsi"/>
                <w:color w:val="000000"/>
                <w:sz w:val="20"/>
                <w:szCs w:val="20"/>
                <w:lang w:eastAsia="en-US"/>
              </w:rPr>
            </w:pPr>
            <w:r w:rsidRPr="003506E5">
              <w:rPr>
                <w:rFonts w:asciiTheme="minorHAnsi" w:eastAsia="Times New Roman" w:hAnsiTheme="minorHAnsi" w:cstheme="minorHAnsi"/>
                <w:color w:val="000000"/>
                <w:sz w:val="20"/>
                <w:szCs w:val="20"/>
                <w:lang w:eastAsia="en-US"/>
              </w:rPr>
              <w:t>0</w:t>
            </w:r>
          </w:p>
        </w:tc>
        <w:tc>
          <w:tcPr>
            <w:tcW w:w="1170" w:type="dxa"/>
            <w:tcBorders>
              <w:top w:val="nil"/>
              <w:left w:val="nil"/>
              <w:bottom w:val="single" w:sz="8" w:space="0" w:color="45A7E1"/>
              <w:right w:val="single" w:sz="8" w:space="0" w:color="45A7E1"/>
            </w:tcBorders>
            <w:shd w:val="clear" w:color="000000" w:fill="DBE4ED"/>
            <w:noWrap/>
            <w:vAlign w:val="center"/>
          </w:tcPr>
          <w:p w14:paraId="1B1C1F52" w14:textId="2ADA2563" w:rsidR="00147B71" w:rsidRPr="003506E5" w:rsidRDefault="00147B71" w:rsidP="00E94F5B">
            <w:pPr>
              <w:spacing w:after="0" w:line="240" w:lineRule="auto"/>
              <w:jc w:val="center"/>
              <w:rPr>
                <w:rFonts w:asciiTheme="minorHAnsi" w:eastAsia="Times New Roman" w:hAnsiTheme="minorHAnsi" w:cstheme="minorHAnsi"/>
                <w:color w:val="000000"/>
                <w:sz w:val="20"/>
                <w:szCs w:val="20"/>
                <w:lang w:eastAsia="en-US"/>
              </w:rPr>
            </w:pPr>
            <w:r w:rsidRPr="003506E5">
              <w:rPr>
                <w:rFonts w:asciiTheme="minorHAnsi" w:hAnsiTheme="minorHAnsi" w:cstheme="minorHAnsi"/>
                <w:color w:val="000000"/>
                <w:sz w:val="20"/>
                <w:szCs w:val="20"/>
              </w:rPr>
              <w:t>1</w:t>
            </w:r>
          </w:p>
        </w:tc>
        <w:tc>
          <w:tcPr>
            <w:tcW w:w="1195" w:type="dxa"/>
            <w:tcBorders>
              <w:top w:val="nil"/>
              <w:left w:val="nil"/>
              <w:bottom w:val="single" w:sz="8" w:space="0" w:color="45A7E1"/>
              <w:right w:val="single" w:sz="8" w:space="0" w:color="45A7E1"/>
            </w:tcBorders>
            <w:shd w:val="clear" w:color="000000" w:fill="DBE4ED"/>
            <w:noWrap/>
            <w:vAlign w:val="center"/>
          </w:tcPr>
          <w:p w14:paraId="20EA4117" w14:textId="0DD9096E" w:rsidR="00147B71" w:rsidRPr="003506E5" w:rsidRDefault="00147B71" w:rsidP="00E94F5B">
            <w:pPr>
              <w:spacing w:after="0" w:line="240" w:lineRule="auto"/>
              <w:jc w:val="center"/>
              <w:rPr>
                <w:rFonts w:asciiTheme="minorHAnsi" w:eastAsia="Times New Roman" w:hAnsiTheme="minorHAnsi" w:cstheme="minorHAnsi"/>
                <w:color w:val="000000"/>
                <w:sz w:val="20"/>
                <w:szCs w:val="20"/>
                <w:lang w:eastAsia="en-US"/>
              </w:rPr>
            </w:pPr>
            <w:r w:rsidRPr="003506E5">
              <w:rPr>
                <w:rFonts w:asciiTheme="minorHAnsi" w:hAnsiTheme="minorHAnsi" w:cstheme="minorHAnsi"/>
                <w:color w:val="000000"/>
                <w:sz w:val="20"/>
                <w:szCs w:val="20"/>
              </w:rPr>
              <w:t>4</w:t>
            </w:r>
          </w:p>
        </w:tc>
        <w:tc>
          <w:tcPr>
            <w:tcW w:w="960" w:type="dxa"/>
            <w:tcBorders>
              <w:top w:val="nil"/>
              <w:left w:val="nil"/>
              <w:bottom w:val="single" w:sz="8" w:space="0" w:color="45A7E1"/>
              <w:right w:val="single" w:sz="8" w:space="0" w:color="45A7E1"/>
            </w:tcBorders>
            <w:shd w:val="clear" w:color="000000" w:fill="DBE4ED"/>
            <w:noWrap/>
            <w:vAlign w:val="center"/>
          </w:tcPr>
          <w:p w14:paraId="55CFE0F4" w14:textId="004DF754" w:rsidR="00147B71" w:rsidRPr="003506E5" w:rsidRDefault="00147B71" w:rsidP="00E94F5B">
            <w:pPr>
              <w:spacing w:after="0" w:line="240" w:lineRule="auto"/>
              <w:jc w:val="center"/>
              <w:rPr>
                <w:rFonts w:asciiTheme="minorHAnsi" w:eastAsia="Times New Roman" w:hAnsiTheme="minorHAnsi" w:cstheme="minorHAnsi"/>
                <w:color w:val="000000"/>
                <w:sz w:val="20"/>
                <w:szCs w:val="20"/>
                <w:lang w:eastAsia="en-US"/>
              </w:rPr>
            </w:pPr>
            <w:r w:rsidRPr="003506E5">
              <w:rPr>
                <w:rFonts w:asciiTheme="minorHAnsi" w:eastAsia="Times New Roman" w:hAnsiTheme="minorHAnsi" w:cstheme="minorHAnsi"/>
                <w:color w:val="000000"/>
                <w:sz w:val="20"/>
                <w:szCs w:val="20"/>
                <w:lang w:eastAsia="en-US"/>
              </w:rPr>
              <w:t>9</w:t>
            </w:r>
          </w:p>
        </w:tc>
      </w:tr>
      <w:tr w:rsidR="00147B71" w:rsidRPr="003506E5" w14:paraId="7B05DF1B" w14:textId="77777777" w:rsidTr="0098309B">
        <w:trPr>
          <w:trHeight w:val="317"/>
        </w:trPr>
        <w:tc>
          <w:tcPr>
            <w:tcW w:w="3325" w:type="dxa"/>
            <w:tcBorders>
              <w:top w:val="nil"/>
              <w:left w:val="single" w:sz="8" w:space="0" w:color="45A7E1"/>
              <w:bottom w:val="single" w:sz="8" w:space="0" w:color="45A7E1"/>
              <w:right w:val="single" w:sz="8" w:space="0" w:color="45A7E1"/>
            </w:tcBorders>
            <w:shd w:val="clear" w:color="000000" w:fill="DBE4ED"/>
            <w:vAlign w:val="bottom"/>
            <w:hideMark/>
          </w:tcPr>
          <w:p w14:paraId="49490F29" w14:textId="1972BEBD" w:rsidR="00147B71" w:rsidRPr="003506E5" w:rsidRDefault="00147B71" w:rsidP="00147B71">
            <w:pPr>
              <w:spacing w:after="0" w:line="240" w:lineRule="auto"/>
              <w:rPr>
                <w:rFonts w:asciiTheme="minorHAnsi" w:eastAsia="Times New Roman" w:hAnsiTheme="minorHAnsi" w:cstheme="minorHAnsi"/>
                <w:color w:val="000000"/>
                <w:sz w:val="20"/>
                <w:szCs w:val="20"/>
                <w:lang w:eastAsia="en-US"/>
              </w:rPr>
            </w:pPr>
            <w:r w:rsidRPr="003506E5">
              <w:rPr>
                <w:rFonts w:asciiTheme="minorHAnsi" w:hAnsiTheme="minorHAnsi" w:cstheme="minorHAnsi"/>
                <w:color w:val="000000"/>
                <w:sz w:val="20"/>
                <w:szCs w:val="20"/>
              </w:rPr>
              <w:t>Other trauma, unspecific</w:t>
            </w:r>
          </w:p>
        </w:tc>
        <w:tc>
          <w:tcPr>
            <w:tcW w:w="1440" w:type="dxa"/>
            <w:tcBorders>
              <w:top w:val="nil"/>
              <w:left w:val="nil"/>
              <w:bottom w:val="single" w:sz="8" w:space="0" w:color="45A7E1"/>
              <w:right w:val="single" w:sz="8" w:space="0" w:color="45A7E1"/>
            </w:tcBorders>
            <w:shd w:val="clear" w:color="000000" w:fill="DBE4ED"/>
            <w:noWrap/>
            <w:vAlign w:val="center"/>
          </w:tcPr>
          <w:p w14:paraId="12D76347" w14:textId="23BB5EE4" w:rsidR="00147B71" w:rsidRPr="003506E5" w:rsidRDefault="00147B71" w:rsidP="00E94F5B">
            <w:pPr>
              <w:spacing w:after="0" w:line="240" w:lineRule="auto"/>
              <w:jc w:val="center"/>
              <w:rPr>
                <w:rFonts w:asciiTheme="minorHAnsi" w:eastAsia="Times New Roman" w:hAnsiTheme="minorHAnsi" w:cstheme="minorHAnsi"/>
                <w:color w:val="000000"/>
                <w:sz w:val="20"/>
                <w:szCs w:val="20"/>
                <w:lang w:eastAsia="en-US"/>
              </w:rPr>
            </w:pPr>
            <w:r w:rsidRPr="003506E5">
              <w:rPr>
                <w:rFonts w:asciiTheme="minorHAnsi" w:hAnsiTheme="minorHAnsi" w:cstheme="minorHAnsi"/>
                <w:color w:val="000000"/>
                <w:sz w:val="20"/>
                <w:szCs w:val="20"/>
              </w:rPr>
              <w:t>1</w:t>
            </w:r>
          </w:p>
        </w:tc>
        <w:tc>
          <w:tcPr>
            <w:tcW w:w="1170" w:type="dxa"/>
            <w:tcBorders>
              <w:top w:val="nil"/>
              <w:left w:val="nil"/>
              <w:bottom w:val="single" w:sz="8" w:space="0" w:color="45A7E1"/>
              <w:right w:val="single" w:sz="8" w:space="0" w:color="45A7E1"/>
            </w:tcBorders>
            <w:shd w:val="clear" w:color="000000" w:fill="DBE4ED"/>
            <w:noWrap/>
            <w:vAlign w:val="center"/>
          </w:tcPr>
          <w:p w14:paraId="6C0843ED" w14:textId="244BA8EC" w:rsidR="00147B71" w:rsidRPr="003506E5" w:rsidRDefault="00147B71" w:rsidP="00E94F5B">
            <w:pPr>
              <w:spacing w:after="0" w:line="240" w:lineRule="auto"/>
              <w:jc w:val="center"/>
              <w:rPr>
                <w:rFonts w:asciiTheme="minorHAnsi" w:eastAsia="Times New Roman" w:hAnsiTheme="minorHAnsi" w:cstheme="minorHAnsi"/>
                <w:color w:val="000000"/>
                <w:sz w:val="20"/>
                <w:szCs w:val="20"/>
                <w:lang w:eastAsia="en-US"/>
              </w:rPr>
            </w:pPr>
            <w:r w:rsidRPr="003506E5">
              <w:rPr>
                <w:rFonts w:asciiTheme="minorHAnsi" w:eastAsia="Times New Roman" w:hAnsiTheme="minorHAnsi" w:cstheme="minorHAnsi"/>
                <w:color w:val="000000"/>
                <w:sz w:val="20"/>
                <w:szCs w:val="20"/>
                <w:lang w:eastAsia="en-US"/>
              </w:rPr>
              <w:t>0</w:t>
            </w:r>
          </w:p>
        </w:tc>
        <w:tc>
          <w:tcPr>
            <w:tcW w:w="1170" w:type="dxa"/>
            <w:tcBorders>
              <w:top w:val="nil"/>
              <w:left w:val="nil"/>
              <w:bottom w:val="single" w:sz="8" w:space="0" w:color="45A7E1"/>
              <w:right w:val="single" w:sz="8" w:space="0" w:color="45A7E1"/>
            </w:tcBorders>
            <w:shd w:val="clear" w:color="000000" w:fill="DBE4ED"/>
            <w:noWrap/>
            <w:vAlign w:val="center"/>
          </w:tcPr>
          <w:p w14:paraId="1422D097" w14:textId="55D799AD" w:rsidR="00147B71" w:rsidRPr="003506E5" w:rsidRDefault="00147B71" w:rsidP="00E94F5B">
            <w:pPr>
              <w:spacing w:after="0" w:line="240" w:lineRule="auto"/>
              <w:jc w:val="center"/>
              <w:rPr>
                <w:rFonts w:asciiTheme="minorHAnsi" w:eastAsia="Times New Roman" w:hAnsiTheme="minorHAnsi" w:cstheme="minorHAnsi"/>
                <w:color w:val="000000"/>
                <w:sz w:val="20"/>
                <w:szCs w:val="20"/>
                <w:lang w:eastAsia="en-US"/>
              </w:rPr>
            </w:pPr>
            <w:r w:rsidRPr="003506E5">
              <w:rPr>
                <w:rFonts w:asciiTheme="minorHAnsi" w:eastAsia="Times New Roman" w:hAnsiTheme="minorHAnsi" w:cstheme="minorHAnsi"/>
                <w:color w:val="000000"/>
                <w:sz w:val="20"/>
                <w:szCs w:val="20"/>
                <w:lang w:eastAsia="en-US"/>
              </w:rPr>
              <w:t>0</w:t>
            </w:r>
          </w:p>
        </w:tc>
        <w:tc>
          <w:tcPr>
            <w:tcW w:w="1195" w:type="dxa"/>
            <w:tcBorders>
              <w:top w:val="nil"/>
              <w:left w:val="nil"/>
              <w:bottom w:val="single" w:sz="8" w:space="0" w:color="45A7E1"/>
              <w:right w:val="single" w:sz="8" w:space="0" w:color="45A7E1"/>
            </w:tcBorders>
            <w:shd w:val="clear" w:color="000000" w:fill="DBE4ED"/>
            <w:noWrap/>
            <w:vAlign w:val="center"/>
          </w:tcPr>
          <w:p w14:paraId="16A8DD24" w14:textId="5A4B78DB" w:rsidR="00147B71" w:rsidRPr="003506E5" w:rsidRDefault="00147B71" w:rsidP="00E94F5B">
            <w:pPr>
              <w:spacing w:after="0" w:line="240" w:lineRule="auto"/>
              <w:jc w:val="center"/>
              <w:rPr>
                <w:rFonts w:asciiTheme="minorHAnsi" w:eastAsia="Times New Roman" w:hAnsiTheme="minorHAnsi" w:cstheme="minorHAnsi"/>
                <w:color w:val="000000"/>
                <w:sz w:val="20"/>
                <w:szCs w:val="20"/>
                <w:lang w:eastAsia="en-US"/>
              </w:rPr>
            </w:pPr>
            <w:r w:rsidRPr="003506E5">
              <w:rPr>
                <w:rFonts w:asciiTheme="minorHAnsi" w:hAnsiTheme="minorHAnsi" w:cstheme="minorHAnsi"/>
                <w:color w:val="000000"/>
                <w:sz w:val="20"/>
                <w:szCs w:val="20"/>
              </w:rPr>
              <w:t>8</w:t>
            </w:r>
          </w:p>
        </w:tc>
        <w:tc>
          <w:tcPr>
            <w:tcW w:w="960" w:type="dxa"/>
            <w:tcBorders>
              <w:top w:val="nil"/>
              <w:left w:val="nil"/>
              <w:bottom w:val="single" w:sz="8" w:space="0" w:color="45A7E1"/>
              <w:right w:val="single" w:sz="8" w:space="0" w:color="45A7E1"/>
            </w:tcBorders>
            <w:shd w:val="clear" w:color="000000" w:fill="DBE4ED"/>
            <w:noWrap/>
            <w:vAlign w:val="center"/>
          </w:tcPr>
          <w:p w14:paraId="67386EF7" w14:textId="1B506FBC" w:rsidR="00147B71" w:rsidRPr="003506E5" w:rsidRDefault="00147B71" w:rsidP="00E94F5B">
            <w:pPr>
              <w:spacing w:after="0" w:line="240" w:lineRule="auto"/>
              <w:jc w:val="center"/>
              <w:rPr>
                <w:rFonts w:asciiTheme="minorHAnsi" w:eastAsia="Times New Roman" w:hAnsiTheme="minorHAnsi" w:cstheme="minorHAnsi"/>
                <w:color w:val="000000"/>
                <w:sz w:val="20"/>
                <w:szCs w:val="20"/>
                <w:lang w:eastAsia="en-US"/>
              </w:rPr>
            </w:pPr>
            <w:r w:rsidRPr="003506E5">
              <w:rPr>
                <w:rFonts w:asciiTheme="minorHAnsi" w:eastAsia="Times New Roman" w:hAnsiTheme="minorHAnsi" w:cstheme="minorHAnsi"/>
                <w:color w:val="000000"/>
                <w:sz w:val="20"/>
                <w:szCs w:val="20"/>
                <w:lang w:eastAsia="en-US"/>
              </w:rPr>
              <w:t>9</w:t>
            </w:r>
          </w:p>
        </w:tc>
      </w:tr>
      <w:tr w:rsidR="00147B71" w:rsidRPr="003506E5" w14:paraId="7E69066D" w14:textId="77777777" w:rsidTr="0098309B">
        <w:trPr>
          <w:trHeight w:val="317"/>
        </w:trPr>
        <w:tc>
          <w:tcPr>
            <w:tcW w:w="3325" w:type="dxa"/>
            <w:tcBorders>
              <w:top w:val="nil"/>
              <w:left w:val="single" w:sz="8" w:space="0" w:color="45A7E1"/>
              <w:bottom w:val="single" w:sz="8" w:space="0" w:color="45A7E1"/>
              <w:right w:val="single" w:sz="8" w:space="0" w:color="45A7E1"/>
            </w:tcBorders>
            <w:shd w:val="clear" w:color="000000" w:fill="DBE4ED"/>
            <w:vAlign w:val="bottom"/>
            <w:hideMark/>
          </w:tcPr>
          <w:p w14:paraId="2B4D05CC" w14:textId="554D5E60" w:rsidR="00147B71" w:rsidRPr="003506E5" w:rsidRDefault="00147B71" w:rsidP="00147B71">
            <w:pPr>
              <w:spacing w:after="0" w:line="240" w:lineRule="auto"/>
              <w:rPr>
                <w:rFonts w:asciiTheme="minorHAnsi" w:eastAsia="Times New Roman" w:hAnsiTheme="minorHAnsi" w:cstheme="minorHAnsi"/>
                <w:color w:val="000000"/>
                <w:sz w:val="20"/>
                <w:szCs w:val="20"/>
                <w:lang w:eastAsia="en-US"/>
              </w:rPr>
            </w:pPr>
            <w:r w:rsidRPr="003506E5">
              <w:rPr>
                <w:rFonts w:asciiTheme="minorHAnsi" w:hAnsiTheme="minorHAnsi" w:cstheme="minorHAnsi"/>
                <w:color w:val="000000"/>
                <w:sz w:val="20"/>
                <w:szCs w:val="20"/>
              </w:rPr>
              <w:t>Cholecystitis, acute</w:t>
            </w:r>
          </w:p>
        </w:tc>
        <w:tc>
          <w:tcPr>
            <w:tcW w:w="1440" w:type="dxa"/>
            <w:tcBorders>
              <w:top w:val="nil"/>
              <w:left w:val="nil"/>
              <w:bottom w:val="single" w:sz="8" w:space="0" w:color="45A7E1"/>
              <w:right w:val="single" w:sz="8" w:space="0" w:color="45A7E1"/>
            </w:tcBorders>
            <w:shd w:val="clear" w:color="000000" w:fill="DBE4ED"/>
            <w:noWrap/>
            <w:vAlign w:val="center"/>
          </w:tcPr>
          <w:p w14:paraId="44E427AB" w14:textId="663427AB" w:rsidR="00147B71" w:rsidRPr="003506E5" w:rsidRDefault="00147B71" w:rsidP="00E94F5B">
            <w:pPr>
              <w:spacing w:after="0" w:line="240" w:lineRule="auto"/>
              <w:jc w:val="center"/>
              <w:rPr>
                <w:rFonts w:asciiTheme="minorHAnsi" w:eastAsia="Times New Roman" w:hAnsiTheme="minorHAnsi" w:cstheme="minorHAnsi"/>
                <w:color w:val="000000"/>
                <w:sz w:val="20"/>
                <w:szCs w:val="20"/>
                <w:lang w:eastAsia="en-US"/>
              </w:rPr>
            </w:pPr>
            <w:r w:rsidRPr="003506E5">
              <w:rPr>
                <w:rFonts w:asciiTheme="minorHAnsi" w:hAnsiTheme="minorHAnsi" w:cstheme="minorHAnsi"/>
                <w:color w:val="000000"/>
                <w:sz w:val="20"/>
                <w:szCs w:val="20"/>
              </w:rPr>
              <w:t>3</w:t>
            </w:r>
          </w:p>
        </w:tc>
        <w:tc>
          <w:tcPr>
            <w:tcW w:w="1170" w:type="dxa"/>
            <w:tcBorders>
              <w:top w:val="nil"/>
              <w:left w:val="nil"/>
              <w:bottom w:val="single" w:sz="8" w:space="0" w:color="45A7E1"/>
              <w:right w:val="single" w:sz="8" w:space="0" w:color="45A7E1"/>
            </w:tcBorders>
            <w:shd w:val="clear" w:color="000000" w:fill="DBE4ED"/>
            <w:noWrap/>
            <w:vAlign w:val="center"/>
          </w:tcPr>
          <w:p w14:paraId="7FD2ACAD" w14:textId="76825BC3" w:rsidR="00147B71" w:rsidRPr="003506E5" w:rsidRDefault="00147B71" w:rsidP="00E94F5B">
            <w:pPr>
              <w:spacing w:after="0" w:line="240" w:lineRule="auto"/>
              <w:jc w:val="center"/>
              <w:rPr>
                <w:rFonts w:asciiTheme="minorHAnsi" w:eastAsia="Times New Roman" w:hAnsiTheme="minorHAnsi" w:cstheme="minorHAnsi"/>
                <w:color w:val="000000"/>
                <w:sz w:val="20"/>
                <w:szCs w:val="20"/>
                <w:lang w:eastAsia="en-US"/>
              </w:rPr>
            </w:pPr>
            <w:r w:rsidRPr="003506E5">
              <w:rPr>
                <w:rFonts w:asciiTheme="minorHAnsi" w:eastAsia="Times New Roman" w:hAnsiTheme="minorHAnsi" w:cstheme="minorHAnsi"/>
                <w:color w:val="000000"/>
                <w:sz w:val="20"/>
                <w:szCs w:val="20"/>
                <w:lang w:eastAsia="en-US"/>
              </w:rPr>
              <w:t>0</w:t>
            </w:r>
          </w:p>
        </w:tc>
        <w:tc>
          <w:tcPr>
            <w:tcW w:w="1170" w:type="dxa"/>
            <w:tcBorders>
              <w:top w:val="nil"/>
              <w:left w:val="nil"/>
              <w:bottom w:val="single" w:sz="8" w:space="0" w:color="45A7E1"/>
              <w:right w:val="single" w:sz="8" w:space="0" w:color="45A7E1"/>
            </w:tcBorders>
            <w:shd w:val="clear" w:color="000000" w:fill="DBE4ED"/>
            <w:noWrap/>
            <w:vAlign w:val="center"/>
          </w:tcPr>
          <w:p w14:paraId="503755B8" w14:textId="07FC8411" w:rsidR="00147B71" w:rsidRPr="003506E5" w:rsidRDefault="00147B71" w:rsidP="00E94F5B">
            <w:pPr>
              <w:spacing w:after="0" w:line="240" w:lineRule="auto"/>
              <w:jc w:val="center"/>
              <w:rPr>
                <w:rFonts w:asciiTheme="minorHAnsi" w:eastAsia="Times New Roman" w:hAnsiTheme="minorHAnsi" w:cstheme="minorHAnsi"/>
                <w:color w:val="000000"/>
                <w:sz w:val="20"/>
                <w:szCs w:val="20"/>
                <w:lang w:eastAsia="en-US"/>
              </w:rPr>
            </w:pPr>
            <w:r w:rsidRPr="003506E5">
              <w:rPr>
                <w:rFonts w:asciiTheme="minorHAnsi" w:eastAsia="Times New Roman" w:hAnsiTheme="minorHAnsi" w:cstheme="minorHAnsi"/>
                <w:color w:val="000000"/>
                <w:sz w:val="20"/>
                <w:szCs w:val="20"/>
                <w:lang w:eastAsia="en-US"/>
              </w:rPr>
              <w:t>0</w:t>
            </w:r>
          </w:p>
        </w:tc>
        <w:tc>
          <w:tcPr>
            <w:tcW w:w="1195" w:type="dxa"/>
            <w:tcBorders>
              <w:top w:val="nil"/>
              <w:left w:val="nil"/>
              <w:bottom w:val="single" w:sz="8" w:space="0" w:color="45A7E1"/>
              <w:right w:val="single" w:sz="8" w:space="0" w:color="45A7E1"/>
            </w:tcBorders>
            <w:shd w:val="clear" w:color="000000" w:fill="DBE4ED"/>
            <w:noWrap/>
            <w:vAlign w:val="center"/>
          </w:tcPr>
          <w:p w14:paraId="75E04AD5" w14:textId="1C6856BB" w:rsidR="00147B71" w:rsidRPr="003506E5" w:rsidRDefault="00147B71" w:rsidP="00E94F5B">
            <w:pPr>
              <w:spacing w:after="0" w:line="240" w:lineRule="auto"/>
              <w:jc w:val="center"/>
              <w:rPr>
                <w:rFonts w:asciiTheme="minorHAnsi" w:eastAsia="Times New Roman" w:hAnsiTheme="minorHAnsi" w:cstheme="minorHAnsi"/>
                <w:color w:val="000000"/>
                <w:sz w:val="20"/>
                <w:szCs w:val="20"/>
                <w:lang w:eastAsia="en-US"/>
              </w:rPr>
            </w:pPr>
            <w:r w:rsidRPr="003506E5">
              <w:rPr>
                <w:rFonts w:asciiTheme="minorHAnsi" w:hAnsiTheme="minorHAnsi" w:cstheme="minorHAnsi"/>
                <w:color w:val="000000"/>
                <w:sz w:val="20"/>
                <w:szCs w:val="20"/>
              </w:rPr>
              <w:t>5</w:t>
            </w:r>
          </w:p>
        </w:tc>
        <w:tc>
          <w:tcPr>
            <w:tcW w:w="960" w:type="dxa"/>
            <w:tcBorders>
              <w:top w:val="nil"/>
              <w:left w:val="nil"/>
              <w:bottom w:val="single" w:sz="8" w:space="0" w:color="45A7E1"/>
              <w:right w:val="single" w:sz="8" w:space="0" w:color="45A7E1"/>
            </w:tcBorders>
            <w:shd w:val="clear" w:color="000000" w:fill="DBE4ED"/>
            <w:noWrap/>
            <w:vAlign w:val="center"/>
          </w:tcPr>
          <w:p w14:paraId="38A3C929" w14:textId="05B90D12" w:rsidR="00147B71" w:rsidRPr="003506E5" w:rsidRDefault="00147B71" w:rsidP="00E94F5B">
            <w:pPr>
              <w:spacing w:after="0" w:line="240" w:lineRule="auto"/>
              <w:jc w:val="center"/>
              <w:rPr>
                <w:rFonts w:asciiTheme="minorHAnsi" w:eastAsia="Times New Roman" w:hAnsiTheme="minorHAnsi" w:cstheme="minorHAnsi"/>
                <w:color w:val="000000"/>
                <w:sz w:val="20"/>
                <w:szCs w:val="20"/>
                <w:lang w:eastAsia="en-US"/>
              </w:rPr>
            </w:pPr>
            <w:r w:rsidRPr="003506E5">
              <w:rPr>
                <w:rFonts w:asciiTheme="minorHAnsi" w:eastAsia="Times New Roman" w:hAnsiTheme="minorHAnsi" w:cstheme="minorHAnsi"/>
                <w:color w:val="000000"/>
                <w:sz w:val="20"/>
                <w:szCs w:val="20"/>
                <w:lang w:eastAsia="en-US"/>
              </w:rPr>
              <w:t>8</w:t>
            </w:r>
          </w:p>
        </w:tc>
      </w:tr>
      <w:tr w:rsidR="00CD5335" w:rsidRPr="003506E5" w14:paraId="6429A3C1" w14:textId="77777777" w:rsidTr="0098309B">
        <w:trPr>
          <w:trHeight w:val="317"/>
        </w:trPr>
        <w:tc>
          <w:tcPr>
            <w:tcW w:w="3325" w:type="dxa"/>
            <w:tcBorders>
              <w:top w:val="nil"/>
              <w:left w:val="single" w:sz="8" w:space="0" w:color="45A7E1"/>
              <w:bottom w:val="single" w:sz="8" w:space="0" w:color="45A7E1"/>
              <w:right w:val="single" w:sz="8" w:space="0" w:color="45A7E1"/>
            </w:tcBorders>
            <w:shd w:val="clear" w:color="000000" w:fill="DBE4ED"/>
            <w:vAlign w:val="center"/>
            <w:hideMark/>
          </w:tcPr>
          <w:p w14:paraId="7CD56EA2" w14:textId="7DA2413E" w:rsidR="00CD5335" w:rsidRPr="003506E5" w:rsidRDefault="00147B71" w:rsidP="00147B71">
            <w:pPr>
              <w:spacing w:after="0" w:line="240" w:lineRule="auto"/>
              <w:rPr>
                <w:rFonts w:asciiTheme="minorHAnsi" w:eastAsia="Times New Roman" w:hAnsiTheme="minorHAnsi" w:cstheme="minorHAnsi"/>
                <w:color w:val="000000"/>
                <w:sz w:val="20"/>
                <w:szCs w:val="20"/>
                <w:lang w:eastAsia="en-US"/>
              </w:rPr>
            </w:pPr>
            <w:r w:rsidRPr="003506E5">
              <w:rPr>
                <w:rFonts w:asciiTheme="minorHAnsi" w:eastAsia="Times New Roman" w:hAnsiTheme="minorHAnsi" w:cstheme="minorHAnsi"/>
                <w:color w:val="000000"/>
                <w:sz w:val="20"/>
                <w:szCs w:val="20"/>
                <w:lang w:eastAsia="en-US"/>
              </w:rPr>
              <w:t>All o</w:t>
            </w:r>
            <w:r w:rsidR="00CD5335" w:rsidRPr="003506E5">
              <w:rPr>
                <w:rFonts w:asciiTheme="minorHAnsi" w:eastAsia="Times New Roman" w:hAnsiTheme="minorHAnsi" w:cstheme="minorHAnsi"/>
                <w:color w:val="000000"/>
                <w:sz w:val="20"/>
                <w:szCs w:val="20"/>
                <w:lang w:eastAsia="en-US"/>
              </w:rPr>
              <w:t>thers</w:t>
            </w:r>
            <w:r w:rsidRPr="003506E5">
              <w:rPr>
                <w:rFonts w:asciiTheme="minorHAnsi" w:eastAsia="Times New Roman" w:hAnsiTheme="minorHAnsi" w:cstheme="minorHAnsi"/>
                <w:color w:val="000000"/>
                <w:sz w:val="20"/>
                <w:szCs w:val="20"/>
                <w:lang w:eastAsia="en-US"/>
              </w:rPr>
              <w:t xml:space="preserve"> surgical diagnoses</w:t>
            </w:r>
          </w:p>
        </w:tc>
        <w:tc>
          <w:tcPr>
            <w:tcW w:w="1440" w:type="dxa"/>
            <w:tcBorders>
              <w:top w:val="nil"/>
              <w:left w:val="nil"/>
              <w:bottom w:val="single" w:sz="8" w:space="0" w:color="45A7E1"/>
              <w:right w:val="single" w:sz="8" w:space="0" w:color="45A7E1"/>
            </w:tcBorders>
            <w:shd w:val="clear" w:color="000000" w:fill="DBE4ED"/>
            <w:noWrap/>
            <w:vAlign w:val="center"/>
          </w:tcPr>
          <w:p w14:paraId="23022C32" w14:textId="3F1A9D81" w:rsidR="00CD5335" w:rsidRPr="003506E5" w:rsidRDefault="00147B71" w:rsidP="00E94F5B">
            <w:pPr>
              <w:spacing w:after="0" w:line="240" w:lineRule="auto"/>
              <w:jc w:val="center"/>
              <w:rPr>
                <w:rFonts w:asciiTheme="minorHAnsi" w:eastAsia="Times New Roman" w:hAnsiTheme="minorHAnsi" w:cstheme="minorHAnsi"/>
                <w:color w:val="000000"/>
                <w:sz w:val="20"/>
                <w:szCs w:val="20"/>
                <w:lang w:eastAsia="en-US"/>
              </w:rPr>
            </w:pPr>
            <w:r w:rsidRPr="003506E5">
              <w:rPr>
                <w:rFonts w:asciiTheme="minorHAnsi" w:eastAsia="Times New Roman" w:hAnsiTheme="minorHAnsi" w:cstheme="minorHAnsi"/>
                <w:color w:val="000000"/>
                <w:sz w:val="20"/>
                <w:szCs w:val="20"/>
                <w:lang w:eastAsia="en-US"/>
              </w:rPr>
              <w:t>20</w:t>
            </w:r>
          </w:p>
        </w:tc>
        <w:tc>
          <w:tcPr>
            <w:tcW w:w="1170" w:type="dxa"/>
            <w:tcBorders>
              <w:top w:val="nil"/>
              <w:left w:val="nil"/>
              <w:bottom w:val="single" w:sz="8" w:space="0" w:color="45A7E1"/>
              <w:right w:val="single" w:sz="8" w:space="0" w:color="45A7E1"/>
            </w:tcBorders>
            <w:shd w:val="clear" w:color="000000" w:fill="DBE4ED"/>
            <w:noWrap/>
            <w:vAlign w:val="center"/>
          </w:tcPr>
          <w:p w14:paraId="25665102" w14:textId="5CC7C0EE" w:rsidR="00CD5335" w:rsidRPr="003506E5" w:rsidRDefault="00147B71" w:rsidP="00E94F5B">
            <w:pPr>
              <w:spacing w:after="0" w:line="240" w:lineRule="auto"/>
              <w:jc w:val="center"/>
              <w:rPr>
                <w:rFonts w:asciiTheme="minorHAnsi" w:eastAsia="Times New Roman" w:hAnsiTheme="minorHAnsi" w:cstheme="minorHAnsi"/>
                <w:color w:val="000000"/>
                <w:sz w:val="20"/>
                <w:szCs w:val="20"/>
                <w:lang w:eastAsia="en-US"/>
              </w:rPr>
            </w:pPr>
            <w:r w:rsidRPr="003506E5">
              <w:rPr>
                <w:rFonts w:asciiTheme="minorHAnsi" w:eastAsia="Times New Roman" w:hAnsiTheme="minorHAnsi" w:cstheme="minorHAnsi"/>
                <w:color w:val="000000"/>
                <w:sz w:val="20"/>
                <w:szCs w:val="20"/>
                <w:lang w:eastAsia="en-US"/>
              </w:rPr>
              <w:t>5</w:t>
            </w:r>
          </w:p>
        </w:tc>
        <w:tc>
          <w:tcPr>
            <w:tcW w:w="1170" w:type="dxa"/>
            <w:tcBorders>
              <w:top w:val="nil"/>
              <w:left w:val="nil"/>
              <w:bottom w:val="single" w:sz="8" w:space="0" w:color="45A7E1"/>
              <w:right w:val="single" w:sz="8" w:space="0" w:color="45A7E1"/>
            </w:tcBorders>
            <w:shd w:val="clear" w:color="000000" w:fill="DBE4ED"/>
            <w:noWrap/>
            <w:vAlign w:val="center"/>
          </w:tcPr>
          <w:p w14:paraId="613E8135" w14:textId="7C8410BE" w:rsidR="00CD5335" w:rsidRPr="003506E5" w:rsidRDefault="00147B71" w:rsidP="00E94F5B">
            <w:pPr>
              <w:spacing w:after="0" w:line="240" w:lineRule="auto"/>
              <w:jc w:val="center"/>
              <w:rPr>
                <w:rFonts w:asciiTheme="minorHAnsi" w:eastAsia="Times New Roman" w:hAnsiTheme="minorHAnsi" w:cstheme="minorHAnsi"/>
                <w:color w:val="000000"/>
                <w:sz w:val="20"/>
                <w:szCs w:val="20"/>
                <w:lang w:eastAsia="en-US"/>
              </w:rPr>
            </w:pPr>
            <w:r w:rsidRPr="003506E5">
              <w:rPr>
                <w:rFonts w:asciiTheme="minorHAnsi" w:eastAsia="Times New Roman" w:hAnsiTheme="minorHAnsi" w:cstheme="minorHAnsi"/>
                <w:color w:val="000000"/>
                <w:sz w:val="20"/>
                <w:szCs w:val="20"/>
                <w:lang w:eastAsia="en-US"/>
              </w:rPr>
              <w:t>3</w:t>
            </w:r>
          </w:p>
        </w:tc>
        <w:tc>
          <w:tcPr>
            <w:tcW w:w="1195" w:type="dxa"/>
            <w:tcBorders>
              <w:top w:val="nil"/>
              <w:left w:val="nil"/>
              <w:bottom w:val="single" w:sz="8" w:space="0" w:color="45A7E1"/>
              <w:right w:val="single" w:sz="8" w:space="0" w:color="45A7E1"/>
            </w:tcBorders>
            <w:shd w:val="clear" w:color="000000" w:fill="DBE4ED"/>
            <w:noWrap/>
            <w:vAlign w:val="center"/>
          </w:tcPr>
          <w:p w14:paraId="35EFB309" w14:textId="0FD72C63" w:rsidR="00CD5335" w:rsidRPr="003506E5" w:rsidRDefault="00147B71" w:rsidP="00E94F5B">
            <w:pPr>
              <w:spacing w:after="0" w:line="240" w:lineRule="auto"/>
              <w:jc w:val="center"/>
              <w:rPr>
                <w:rFonts w:asciiTheme="minorHAnsi" w:eastAsia="Times New Roman" w:hAnsiTheme="minorHAnsi" w:cstheme="minorHAnsi"/>
                <w:color w:val="000000"/>
                <w:sz w:val="20"/>
                <w:szCs w:val="20"/>
                <w:lang w:eastAsia="en-US"/>
              </w:rPr>
            </w:pPr>
            <w:r w:rsidRPr="003506E5">
              <w:rPr>
                <w:rFonts w:asciiTheme="minorHAnsi" w:eastAsia="Times New Roman" w:hAnsiTheme="minorHAnsi" w:cstheme="minorHAnsi"/>
                <w:color w:val="000000"/>
                <w:sz w:val="20"/>
                <w:szCs w:val="20"/>
                <w:lang w:eastAsia="en-US"/>
              </w:rPr>
              <w:t>36</w:t>
            </w:r>
          </w:p>
        </w:tc>
        <w:tc>
          <w:tcPr>
            <w:tcW w:w="960" w:type="dxa"/>
            <w:tcBorders>
              <w:top w:val="nil"/>
              <w:left w:val="nil"/>
              <w:bottom w:val="single" w:sz="8" w:space="0" w:color="45A7E1"/>
              <w:right w:val="single" w:sz="8" w:space="0" w:color="45A7E1"/>
            </w:tcBorders>
            <w:shd w:val="clear" w:color="000000" w:fill="DBE4ED"/>
            <w:noWrap/>
            <w:vAlign w:val="center"/>
          </w:tcPr>
          <w:p w14:paraId="47B41F82" w14:textId="6948B499" w:rsidR="00CD5335" w:rsidRPr="003506E5" w:rsidRDefault="00147B71" w:rsidP="00E94F5B">
            <w:pPr>
              <w:spacing w:after="0" w:line="240" w:lineRule="auto"/>
              <w:jc w:val="center"/>
              <w:rPr>
                <w:rFonts w:asciiTheme="minorHAnsi" w:eastAsia="Times New Roman" w:hAnsiTheme="minorHAnsi" w:cstheme="minorHAnsi"/>
                <w:color w:val="000000"/>
                <w:sz w:val="20"/>
                <w:szCs w:val="20"/>
                <w:lang w:eastAsia="en-US"/>
              </w:rPr>
            </w:pPr>
            <w:r w:rsidRPr="003506E5">
              <w:rPr>
                <w:rFonts w:asciiTheme="minorHAnsi" w:eastAsia="Times New Roman" w:hAnsiTheme="minorHAnsi" w:cstheme="minorHAnsi"/>
                <w:color w:val="000000"/>
                <w:sz w:val="20"/>
                <w:szCs w:val="20"/>
                <w:lang w:eastAsia="en-US"/>
              </w:rPr>
              <w:fldChar w:fldCharType="begin"/>
            </w:r>
            <w:r w:rsidRPr="003506E5">
              <w:rPr>
                <w:rFonts w:asciiTheme="minorHAnsi" w:eastAsia="Times New Roman" w:hAnsiTheme="minorHAnsi" w:cstheme="minorHAnsi"/>
                <w:color w:val="000000"/>
                <w:sz w:val="20"/>
                <w:szCs w:val="20"/>
                <w:lang w:eastAsia="en-US"/>
              </w:rPr>
              <w:instrText xml:space="preserve"> =SUM(LEFT) </w:instrText>
            </w:r>
            <w:r w:rsidRPr="003506E5">
              <w:rPr>
                <w:rFonts w:asciiTheme="minorHAnsi" w:eastAsia="Times New Roman" w:hAnsiTheme="minorHAnsi" w:cstheme="minorHAnsi"/>
                <w:color w:val="000000"/>
                <w:sz w:val="20"/>
                <w:szCs w:val="20"/>
                <w:lang w:eastAsia="en-US"/>
              </w:rPr>
              <w:fldChar w:fldCharType="separate"/>
            </w:r>
            <w:r w:rsidRPr="003506E5">
              <w:rPr>
                <w:rFonts w:asciiTheme="minorHAnsi" w:eastAsia="Times New Roman" w:hAnsiTheme="minorHAnsi" w:cstheme="minorHAnsi"/>
                <w:noProof/>
                <w:color w:val="000000"/>
                <w:sz w:val="20"/>
                <w:szCs w:val="20"/>
                <w:lang w:eastAsia="en-US"/>
              </w:rPr>
              <w:t>64</w:t>
            </w:r>
            <w:r w:rsidRPr="003506E5">
              <w:rPr>
                <w:rFonts w:asciiTheme="minorHAnsi" w:eastAsia="Times New Roman" w:hAnsiTheme="minorHAnsi" w:cstheme="minorHAnsi"/>
                <w:color w:val="000000"/>
                <w:sz w:val="20"/>
                <w:szCs w:val="20"/>
                <w:lang w:eastAsia="en-US"/>
              </w:rPr>
              <w:fldChar w:fldCharType="end"/>
            </w:r>
          </w:p>
        </w:tc>
      </w:tr>
      <w:tr w:rsidR="00CD5335" w:rsidRPr="003506E5" w14:paraId="549AAFD8" w14:textId="77777777" w:rsidTr="0098309B">
        <w:trPr>
          <w:trHeight w:val="317"/>
        </w:trPr>
        <w:tc>
          <w:tcPr>
            <w:tcW w:w="3325" w:type="dxa"/>
            <w:tcBorders>
              <w:top w:val="nil"/>
              <w:left w:val="single" w:sz="8" w:space="0" w:color="45A7E1"/>
              <w:bottom w:val="single" w:sz="8" w:space="0" w:color="45A7E1"/>
              <w:right w:val="single" w:sz="8" w:space="0" w:color="45A7E1"/>
            </w:tcBorders>
            <w:shd w:val="clear" w:color="000000" w:fill="DBE4ED"/>
            <w:vAlign w:val="center"/>
            <w:hideMark/>
          </w:tcPr>
          <w:p w14:paraId="2C7C01AD" w14:textId="77777777" w:rsidR="00CD5335" w:rsidRPr="003506E5" w:rsidRDefault="00CD5335" w:rsidP="00CD5335">
            <w:pPr>
              <w:spacing w:after="0" w:line="240" w:lineRule="auto"/>
              <w:rPr>
                <w:rFonts w:asciiTheme="minorHAnsi" w:eastAsia="Times New Roman" w:hAnsiTheme="minorHAnsi" w:cstheme="minorHAnsi"/>
                <w:color w:val="000000"/>
                <w:sz w:val="20"/>
                <w:szCs w:val="20"/>
                <w:lang w:eastAsia="en-US"/>
              </w:rPr>
            </w:pPr>
            <w:r w:rsidRPr="003506E5">
              <w:rPr>
                <w:rFonts w:asciiTheme="minorHAnsi" w:eastAsia="Times New Roman" w:hAnsiTheme="minorHAnsi" w:cstheme="minorHAnsi"/>
                <w:color w:val="000000"/>
                <w:sz w:val="20"/>
                <w:szCs w:val="20"/>
                <w:lang w:eastAsia="en-US"/>
              </w:rPr>
              <w:t>Total</w:t>
            </w:r>
          </w:p>
        </w:tc>
        <w:tc>
          <w:tcPr>
            <w:tcW w:w="1440" w:type="dxa"/>
            <w:tcBorders>
              <w:top w:val="nil"/>
              <w:left w:val="nil"/>
              <w:bottom w:val="single" w:sz="8" w:space="0" w:color="45A7E1"/>
              <w:right w:val="single" w:sz="8" w:space="0" w:color="45A7E1"/>
            </w:tcBorders>
            <w:shd w:val="clear" w:color="000000" w:fill="DBE4ED"/>
            <w:noWrap/>
            <w:vAlign w:val="center"/>
          </w:tcPr>
          <w:p w14:paraId="2C59062B" w14:textId="21CB49D2" w:rsidR="00CD5335" w:rsidRPr="003506E5" w:rsidRDefault="00147B71" w:rsidP="00E94F5B">
            <w:pPr>
              <w:spacing w:after="0" w:line="240" w:lineRule="auto"/>
              <w:jc w:val="center"/>
              <w:rPr>
                <w:rFonts w:asciiTheme="minorHAnsi" w:eastAsia="Times New Roman" w:hAnsiTheme="minorHAnsi" w:cstheme="minorHAnsi"/>
                <w:color w:val="000000"/>
                <w:sz w:val="20"/>
                <w:szCs w:val="20"/>
                <w:lang w:eastAsia="en-US"/>
              </w:rPr>
            </w:pPr>
            <w:r w:rsidRPr="003506E5">
              <w:rPr>
                <w:rFonts w:asciiTheme="minorHAnsi" w:eastAsia="Times New Roman" w:hAnsiTheme="minorHAnsi" w:cstheme="minorHAnsi"/>
                <w:color w:val="000000"/>
                <w:sz w:val="20"/>
                <w:szCs w:val="20"/>
                <w:lang w:eastAsia="en-US"/>
              </w:rPr>
              <w:fldChar w:fldCharType="begin"/>
            </w:r>
            <w:r w:rsidRPr="003506E5">
              <w:rPr>
                <w:rFonts w:asciiTheme="minorHAnsi" w:eastAsia="Times New Roman" w:hAnsiTheme="minorHAnsi" w:cstheme="minorHAnsi"/>
                <w:color w:val="000000"/>
                <w:sz w:val="20"/>
                <w:szCs w:val="20"/>
                <w:lang w:eastAsia="en-US"/>
              </w:rPr>
              <w:instrText xml:space="preserve"> =SUM(ABOVE) </w:instrText>
            </w:r>
            <w:r w:rsidRPr="003506E5">
              <w:rPr>
                <w:rFonts w:asciiTheme="minorHAnsi" w:eastAsia="Times New Roman" w:hAnsiTheme="minorHAnsi" w:cstheme="minorHAnsi"/>
                <w:color w:val="000000"/>
                <w:sz w:val="20"/>
                <w:szCs w:val="20"/>
                <w:lang w:eastAsia="en-US"/>
              </w:rPr>
              <w:fldChar w:fldCharType="separate"/>
            </w:r>
            <w:r w:rsidRPr="003506E5">
              <w:rPr>
                <w:rFonts w:asciiTheme="minorHAnsi" w:eastAsia="Times New Roman" w:hAnsiTheme="minorHAnsi" w:cstheme="minorHAnsi"/>
                <w:noProof/>
                <w:color w:val="000000"/>
                <w:sz w:val="20"/>
                <w:szCs w:val="20"/>
                <w:lang w:eastAsia="en-US"/>
              </w:rPr>
              <w:t>134</w:t>
            </w:r>
            <w:r w:rsidRPr="003506E5">
              <w:rPr>
                <w:rFonts w:asciiTheme="minorHAnsi" w:eastAsia="Times New Roman" w:hAnsiTheme="minorHAnsi" w:cstheme="minorHAnsi"/>
                <w:color w:val="000000"/>
                <w:sz w:val="20"/>
                <w:szCs w:val="20"/>
                <w:lang w:eastAsia="en-US"/>
              </w:rPr>
              <w:fldChar w:fldCharType="end"/>
            </w:r>
          </w:p>
        </w:tc>
        <w:tc>
          <w:tcPr>
            <w:tcW w:w="1170" w:type="dxa"/>
            <w:tcBorders>
              <w:top w:val="nil"/>
              <w:left w:val="nil"/>
              <w:bottom w:val="single" w:sz="8" w:space="0" w:color="45A7E1"/>
              <w:right w:val="single" w:sz="8" w:space="0" w:color="45A7E1"/>
            </w:tcBorders>
            <w:shd w:val="clear" w:color="000000" w:fill="DBE4ED"/>
            <w:noWrap/>
            <w:vAlign w:val="center"/>
          </w:tcPr>
          <w:p w14:paraId="6E4E5B90" w14:textId="58668BDD" w:rsidR="00CD5335" w:rsidRPr="003506E5" w:rsidRDefault="00147B71" w:rsidP="00E94F5B">
            <w:pPr>
              <w:spacing w:after="0" w:line="240" w:lineRule="auto"/>
              <w:jc w:val="center"/>
              <w:rPr>
                <w:rFonts w:asciiTheme="minorHAnsi" w:eastAsia="Times New Roman" w:hAnsiTheme="minorHAnsi" w:cstheme="minorHAnsi"/>
                <w:color w:val="000000"/>
                <w:sz w:val="20"/>
                <w:szCs w:val="20"/>
                <w:lang w:eastAsia="en-US"/>
              </w:rPr>
            </w:pPr>
            <w:r w:rsidRPr="003506E5">
              <w:rPr>
                <w:rFonts w:asciiTheme="minorHAnsi" w:eastAsia="Times New Roman" w:hAnsiTheme="minorHAnsi" w:cstheme="minorHAnsi"/>
                <w:color w:val="000000"/>
                <w:sz w:val="20"/>
                <w:szCs w:val="20"/>
                <w:lang w:eastAsia="en-US"/>
              </w:rPr>
              <w:fldChar w:fldCharType="begin"/>
            </w:r>
            <w:r w:rsidRPr="003506E5">
              <w:rPr>
                <w:rFonts w:asciiTheme="minorHAnsi" w:eastAsia="Times New Roman" w:hAnsiTheme="minorHAnsi" w:cstheme="minorHAnsi"/>
                <w:color w:val="000000"/>
                <w:sz w:val="20"/>
                <w:szCs w:val="20"/>
                <w:lang w:eastAsia="en-US"/>
              </w:rPr>
              <w:instrText xml:space="preserve"> =SUM(ABOVE) </w:instrText>
            </w:r>
            <w:r w:rsidRPr="003506E5">
              <w:rPr>
                <w:rFonts w:asciiTheme="minorHAnsi" w:eastAsia="Times New Roman" w:hAnsiTheme="minorHAnsi" w:cstheme="minorHAnsi"/>
                <w:color w:val="000000"/>
                <w:sz w:val="20"/>
                <w:szCs w:val="20"/>
                <w:lang w:eastAsia="en-US"/>
              </w:rPr>
              <w:fldChar w:fldCharType="separate"/>
            </w:r>
            <w:r w:rsidRPr="003506E5">
              <w:rPr>
                <w:rFonts w:asciiTheme="minorHAnsi" w:eastAsia="Times New Roman" w:hAnsiTheme="minorHAnsi" w:cstheme="minorHAnsi"/>
                <w:noProof/>
                <w:color w:val="000000"/>
                <w:sz w:val="20"/>
                <w:szCs w:val="20"/>
                <w:lang w:eastAsia="en-US"/>
              </w:rPr>
              <w:t>14</w:t>
            </w:r>
            <w:r w:rsidRPr="003506E5">
              <w:rPr>
                <w:rFonts w:asciiTheme="minorHAnsi" w:eastAsia="Times New Roman" w:hAnsiTheme="minorHAnsi" w:cstheme="minorHAnsi"/>
                <w:color w:val="000000"/>
                <w:sz w:val="20"/>
                <w:szCs w:val="20"/>
                <w:lang w:eastAsia="en-US"/>
              </w:rPr>
              <w:fldChar w:fldCharType="end"/>
            </w:r>
          </w:p>
        </w:tc>
        <w:tc>
          <w:tcPr>
            <w:tcW w:w="1170" w:type="dxa"/>
            <w:tcBorders>
              <w:top w:val="nil"/>
              <w:left w:val="nil"/>
              <w:bottom w:val="single" w:sz="8" w:space="0" w:color="45A7E1"/>
              <w:right w:val="single" w:sz="8" w:space="0" w:color="45A7E1"/>
            </w:tcBorders>
            <w:shd w:val="clear" w:color="000000" w:fill="DBE4ED"/>
            <w:noWrap/>
            <w:vAlign w:val="center"/>
          </w:tcPr>
          <w:p w14:paraId="4F1B8924" w14:textId="1DC94E35" w:rsidR="00CD5335" w:rsidRPr="003506E5" w:rsidRDefault="00147B71" w:rsidP="00E94F5B">
            <w:pPr>
              <w:spacing w:after="0" w:line="240" w:lineRule="auto"/>
              <w:jc w:val="center"/>
              <w:rPr>
                <w:rFonts w:asciiTheme="minorHAnsi" w:eastAsia="Times New Roman" w:hAnsiTheme="minorHAnsi" w:cstheme="minorHAnsi"/>
                <w:color w:val="000000"/>
                <w:sz w:val="20"/>
                <w:szCs w:val="20"/>
                <w:lang w:eastAsia="en-US"/>
              </w:rPr>
            </w:pPr>
            <w:r w:rsidRPr="003506E5">
              <w:rPr>
                <w:rFonts w:asciiTheme="minorHAnsi" w:eastAsia="Times New Roman" w:hAnsiTheme="minorHAnsi" w:cstheme="minorHAnsi"/>
                <w:color w:val="000000"/>
                <w:sz w:val="20"/>
                <w:szCs w:val="20"/>
                <w:lang w:eastAsia="en-US"/>
              </w:rPr>
              <w:fldChar w:fldCharType="begin"/>
            </w:r>
            <w:r w:rsidRPr="003506E5">
              <w:rPr>
                <w:rFonts w:asciiTheme="minorHAnsi" w:eastAsia="Times New Roman" w:hAnsiTheme="minorHAnsi" w:cstheme="minorHAnsi"/>
                <w:color w:val="000000"/>
                <w:sz w:val="20"/>
                <w:szCs w:val="20"/>
                <w:lang w:eastAsia="en-US"/>
              </w:rPr>
              <w:instrText xml:space="preserve"> =SUM(ABOVE) </w:instrText>
            </w:r>
            <w:r w:rsidRPr="003506E5">
              <w:rPr>
                <w:rFonts w:asciiTheme="minorHAnsi" w:eastAsia="Times New Roman" w:hAnsiTheme="minorHAnsi" w:cstheme="minorHAnsi"/>
                <w:color w:val="000000"/>
                <w:sz w:val="20"/>
                <w:szCs w:val="20"/>
                <w:lang w:eastAsia="en-US"/>
              </w:rPr>
              <w:fldChar w:fldCharType="separate"/>
            </w:r>
            <w:r w:rsidRPr="003506E5">
              <w:rPr>
                <w:rFonts w:asciiTheme="minorHAnsi" w:eastAsia="Times New Roman" w:hAnsiTheme="minorHAnsi" w:cstheme="minorHAnsi"/>
                <w:noProof/>
                <w:color w:val="000000"/>
                <w:sz w:val="20"/>
                <w:szCs w:val="20"/>
                <w:lang w:eastAsia="en-US"/>
              </w:rPr>
              <w:t>9</w:t>
            </w:r>
            <w:r w:rsidRPr="003506E5">
              <w:rPr>
                <w:rFonts w:asciiTheme="minorHAnsi" w:eastAsia="Times New Roman" w:hAnsiTheme="minorHAnsi" w:cstheme="minorHAnsi"/>
                <w:color w:val="000000"/>
                <w:sz w:val="20"/>
                <w:szCs w:val="20"/>
                <w:lang w:eastAsia="en-US"/>
              </w:rPr>
              <w:fldChar w:fldCharType="end"/>
            </w:r>
          </w:p>
        </w:tc>
        <w:tc>
          <w:tcPr>
            <w:tcW w:w="1195" w:type="dxa"/>
            <w:tcBorders>
              <w:top w:val="nil"/>
              <w:left w:val="nil"/>
              <w:bottom w:val="single" w:sz="8" w:space="0" w:color="45A7E1"/>
              <w:right w:val="single" w:sz="8" w:space="0" w:color="45A7E1"/>
            </w:tcBorders>
            <w:shd w:val="clear" w:color="000000" w:fill="DBE4ED"/>
            <w:noWrap/>
            <w:vAlign w:val="center"/>
          </w:tcPr>
          <w:p w14:paraId="6E68FE38" w14:textId="2D9A7C20" w:rsidR="00CD5335" w:rsidRPr="003506E5" w:rsidRDefault="00147B71" w:rsidP="00E94F5B">
            <w:pPr>
              <w:spacing w:after="0" w:line="240" w:lineRule="auto"/>
              <w:jc w:val="center"/>
              <w:rPr>
                <w:rFonts w:asciiTheme="minorHAnsi" w:eastAsia="Times New Roman" w:hAnsiTheme="minorHAnsi" w:cstheme="minorHAnsi"/>
                <w:color w:val="000000"/>
                <w:sz w:val="20"/>
                <w:szCs w:val="20"/>
                <w:lang w:eastAsia="en-US"/>
              </w:rPr>
            </w:pPr>
            <w:r w:rsidRPr="003506E5">
              <w:rPr>
                <w:rFonts w:asciiTheme="minorHAnsi" w:eastAsia="Times New Roman" w:hAnsiTheme="minorHAnsi" w:cstheme="minorHAnsi"/>
                <w:color w:val="000000"/>
                <w:sz w:val="20"/>
                <w:szCs w:val="20"/>
                <w:lang w:eastAsia="en-US"/>
              </w:rPr>
              <w:fldChar w:fldCharType="begin"/>
            </w:r>
            <w:r w:rsidRPr="003506E5">
              <w:rPr>
                <w:rFonts w:asciiTheme="minorHAnsi" w:eastAsia="Times New Roman" w:hAnsiTheme="minorHAnsi" w:cstheme="minorHAnsi"/>
                <w:color w:val="000000"/>
                <w:sz w:val="20"/>
                <w:szCs w:val="20"/>
                <w:lang w:eastAsia="en-US"/>
              </w:rPr>
              <w:instrText xml:space="preserve"> =SUM(ABOVE) </w:instrText>
            </w:r>
            <w:r w:rsidRPr="003506E5">
              <w:rPr>
                <w:rFonts w:asciiTheme="minorHAnsi" w:eastAsia="Times New Roman" w:hAnsiTheme="minorHAnsi" w:cstheme="minorHAnsi"/>
                <w:color w:val="000000"/>
                <w:sz w:val="20"/>
                <w:szCs w:val="20"/>
                <w:lang w:eastAsia="en-US"/>
              </w:rPr>
              <w:fldChar w:fldCharType="separate"/>
            </w:r>
            <w:r w:rsidRPr="003506E5">
              <w:rPr>
                <w:rFonts w:asciiTheme="minorHAnsi" w:eastAsia="Times New Roman" w:hAnsiTheme="minorHAnsi" w:cstheme="minorHAnsi"/>
                <w:noProof/>
                <w:color w:val="000000"/>
                <w:sz w:val="20"/>
                <w:szCs w:val="20"/>
                <w:lang w:eastAsia="en-US"/>
              </w:rPr>
              <w:t>115</w:t>
            </w:r>
            <w:r w:rsidRPr="003506E5">
              <w:rPr>
                <w:rFonts w:asciiTheme="minorHAnsi" w:eastAsia="Times New Roman" w:hAnsiTheme="minorHAnsi" w:cstheme="minorHAnsi"/>
                <w:color w:val="000000"/>
                <w:sz w:val="20"/>
                <w:szCs w:val="20"/>
                <w:lang w:eastAsia="en-US"/>
              </w:rPr>
              <w:fldChar w:fldCharType="end"/>
            </w:r>
          </w:p>
        </w:tc>
        <w:tc>
          <w:tcPr>
            <w:tcW w:w="960" w:type="dxa"/>
            <w:tcBorders>
              <w:top w:val="nil"/>
              <w:left w:val="nil"/>
              <w:bottom w:val="single" w:sz="8" w:space="0" w:color="45A7E1"/>
              <w:right w:val="single" w:sz="8" w:space="0" w:color="45A7E1"/>
            </w:tcBorders>
            <w:shd w:val="clear" w:color="000000" w:fill="DBE4ED"/>
            <w:noWrap/>
            <w:vAlign w:val="center"/>
          </w:tcPr>
          <w:p w14:paraId="4CEDA9DF" w14:textId="23B45B29" w:rsidR="00CD5335" w:rsidRPr="003506E5" w:rsidRDefault="00147B71" w:rsidP="00E94F5B">
            <w:pPr>
              <w:spacing w:after="0" w:line="240" w:lineRule="auto"/>
              <w:jc w:val="center"/>
              <w:rPr>
                <w:rFonts w:asciiTheme="minorHAnsi" w:eastAsia="Times New Roman" w:hAnsiTheme="minorHAnsi" w:cstheme="minorHAnsi"/>
                <w:color w:val="000000"/>
                <w:sz w:val="20"/>
                <w:szCs w:val="20"/>
                <w:lang w:eastAsia="en-US"/>
              </w:rPr>
            </w:pPr>
            <w:r w:rsidRPr="003506E5">
              <w:rPr>
                <w:rFonts w:asciiTheme="minorHAnsi" w:eastAsia="Times New Roman" w:hAnsiTheme="minorHAnsi" w:cstheme="minorHAnsi"/>
                <w:color w:val="000000"/>
                <w:sz w:val="20"/>
                <w:szCs w:val="20"/>
                <w:lang w:eastAsia="en-US"/>
              </w:rPr>
              <w:fldChar w:fldCharType="begin"/>
            </w:r>
            <w:r w:rsidRPr="003506E5">
              <w:rPr>
                <w:rFonts w:asciiTheme="minorHAnsi" w:eastAsia="Times New Roman" w:hAnsiTheme="minorHAnsi" w:cstheme="minorHAnsi"/>
                <w:color w:val="000000"/>
                <w:sz w:val="20"/>
                <w:szCs w:val="20"/>
                <w:lang w:eastAsia="en-US"/>
              </w:rPr>
              <w:instrText xml:space="preserve"> =SUM(ABOVE) </w:instrText>
            </w:r>
            <w:r w:rsidRPr="003506E5">
              <w:rPr>
                <w:rFonts w:asciiTheme="minorHAnsi" w:eastAsia="Times New Roman" w:hAnsiTheme="minorHAnsi" w:cstheme="minorHAnsi"/>
                <w:color w:val="000000"/>
                <w:sz w:val="20"/>
                <w:szCs w:val="20"/>
                <w:lang w:eastAsia="en-US"/>
              </w:rPr>
              <w:fldChar w:fldCharType="separate"/>
            </w:r>
            <w:r w:rsidRPr="003506E5">
              <w:rPr>
                <w:rFonts w:asciiTheme="minorHAnsi" w:eastAsia="Times New Roman" w:hAnsiTheme="minorHAnsi" w:cstheme="minorHAnsi"/>
                <w:noProof/>
                <w:color w:val="000000"/>
                <w:sz w:val="20"/>
                <w:szCs w:val="20"/>
                <w:lang w:eastAsia="en-US"/>
              </w:rPr>
              <w:t>272</w:t>
            </w:r>
            <w:r w:rsidRPr="003506E5">
              <w:rPr>
                <w:rFonts w:asciiTheme="minorHAnsi" w:eastAsia="Times New Roman" w:hAnsiTheme="minorHAnsi" w:cstheme="minorHAnsi"/>
                <w:color w:val="000000"/>
                <w:sz w:val="20"/>
                <w:szCs w:val="20"/>
                <w:lang w:eastAsia="en-US"/>
              </w:rPr>
              <w:fldChar w:fldCharType="end"/>
            </w:r>
          </w:p>
        </w:tc>
      </w:tr>
      <w:tr w:rsidR="00E94F5B" w:rsidRPr="003506E5" w14:paraId="50F06C23" w14:textId="77777777" w:rsidTr="0098309B">
        <w:trPr>
          <w:trHeight w:val="317"/>
        </w:trPr>
        <w:tc>
          <w:tcPr>
            <w:tcW w:w="3325" w:type="dxa"/>
            <w:tcBorders>
              <w:top w:val="nil"/>
              <w:left w:val="single" w:sz="8" w:space="0" w:color="45A7E1"/>
              <w:bottom w:val="single" w:sz="8" w:space="0" w:color="45A7E1"/>
              <w:right w:val="single" w:sz="8" w:space="0" w:color="45A7E1"/>
            </w:tcBorders>
            <w:shd w:val="clear" w:color="000000" w:fill="DBE4ED"/>
            <w:vAlign w:val="center"/>
            <w:hideMark/>
          </w:tcPr>
          <w:p w14:paraId="4D58D785" w14:textId="2841B1C5" w:rsidR="00E94F5B" w:rsidRPr="003506E5" w:rsidRDefault="00E94F5B" w:rsidP="00CD5335">
            <w:pPr>
              <w:spacing w:after="0" w:line="240" w:lineRule="auto"/>
              <w:rPr>
                <w:rFonts w:asciiTheme="minorHAnsi" w:eastAsia="Times New Roman" w:hAnsiTheme="minorHAnsi" w:cstheme="minorHAnsi"/>
                <w:color w:val="000000"/>
                <w:sz w:val="20"/>
                <w:szCs w:val="20"/>
                <w:lang w:eastAsia="en-US"/>
              </w:rPr>
            </w:pPr>
          </w:p>
        </w:tc>
        <w:tc>
          <w:tcPr>
            <w:tcW w:w="2610" w:type="dxa"/>
            <w:gridSpan w:val="2"/>
            <w:tcBorders>
              <w:top w:val="nil"/>
              <w:left w:val="nil"/>
              <w:bottom w:val="single" w:sz="8" w:space="0" w:color="45A7E1"/>
              <w:right w:val="single" w:sz="8" w:space="0" w:color="45A7E1"/>
            </w:tcBorders>
            <w:shd w:val="clear" w:color="000000" w:fill="DBE4ED"/>
            <w:noWrap/>
            <w:vAlign w:val="center"/>
          </w:tcPr>
          <w:p w14:paraId="106BED15" w14:textId="7D0723B8" w:rsidR="00E94F5B" w:rsidRPr="003506E5" w:rsidRDefault="00E94F5B" w:rsidP="00E94F5B">
            <w:pPr>
              <w:spacing w:after="0" w:line="240" w:lineRule="auto"/>
              <w:jc w:val="center"/>
              <w:rPr>
                <w:rFonts w:asciiTheme="minorHAnsi" w:eastAsia="Times New Roman" w:hAnsiTheme="minorHAnsi" w:cstheme="minorHAnsi"/>
                <w:b/>
                <w:bCs/>
                <w:color w:val="000000"/>
                <w:sz w:val="20"/>
                <w:szCs w:val="20"/>
                <w:lang w:eastAsia="en-US"/>
              </w:rPr>
            </w:pPr>
            <w:r w:rsidRPr="003506E5">
              <w:rPr>
                <w:rFonts w:asciiTheme="minorHAnsi" w:eastAsia="Times New Roman" w:hAnsiTheme="minorHAnsi" w:cstheme="minorHAnsi"/>
                <w:b/>
                <w:bCs/>
                <w:color w:val="000000"/>
                <w:sz w:val="20"/>
                <w:szCs w:val="20"/>
                <w:lang w:eastAsia="en-US"/>
              </w:rPr>
              <w:t>148 (54%)</w:t>
            </w:r>
          </w:p>
        </w:tc>
        <w:tc>
          <w:tcPr>
            <w:tcW w:w="2365" w:type="dxa"/>
            <w:gridSpan w:val="2"/>
            <w:tcBorders>
              <w:top w:val="nil"/>
              <w:left w:val="nil"/>
              <w:bottom w:val="single" w:sz="8" w:space="0" w:color="45A7E1"/>
              <w:right w:val="single" w:sz="8" w:space="0" w:color="45A7E1"/>
            </w:tcBorders>
            <w:shd w:val="clear" w:color="000000" w:fill="DBE4ED"/>
            <w:noWrap/>
            <w:vAlign w:val="center"/>
          </w:tcPr>
          <w:p w14:paraId="31683457" w14:textId="69EC9D7C" w:rsidR="00E94F5B" w:rsidRPr="003506E5" w:rsidRDefault="00E94F5B" w:rsidP="00E94F5B">
            <w:pPr>
              <w:spacing w:after="0" w:line="240" w:lineRule="auto"/>
              <w:jc w:val="center"/>
              <w:rPr>
                <w:rFonts w:asciiTheme="minorHAnsi" w:eastAsia="Times New Roman" w:hAnsiTheme="minorHAnsi" w:cstheme="minorHAnsi"/>
                <w:b/>
                <w:bCs/>
                <w:color w:val="000000"/>
                <w:sz w:val="20"/>
                <w:szCs w:val="20"/>
                <w:lang w:eastAsia="en-US"/>
              </w:rPr>
            </w:pPr>
            <w:r w:rsidRPr="003506E5">
              <w:rPr>
                <w:rFonts w:asciiTheme="minorHAnsi" w:eastAsia="Times New Roman" w:hAnsiTheme="minorHAnsi" w:cstheme="minorHAnsi"/>
                <w:b/>
                <w:bCs/>
                <w:color w:val="000000"/>
                <w:sz w:val="20"/>
                <w:szCs w:val="20"/>
                <w:lang w:eastAsia="en-US"/>
              </w:rPr>
              <w:t>124 (46%)</w:t>
            </w:r>
          </w:p>
        </w:tc>
        <w:tc>
          <w:tcPr>
            <w:tcW w:w="960" w:type="dxa"/>
            <w:tcBorders>
              <w:top w:val="nil"/>
              <w:left w:val="nil"/>
              <w:bottom w:val="single" w:sz="8" w:space="0" w:color="45A7E1"/>
              <w:right w:val="single" w:sz="8" w:space="0" w:color="45A7E1"/>
            </w:tcBorders>
            <w:shd w:val="clear" w:color="000000" w:fill="DBE4ED"/>
            <w:vAlign w:val="center"/>
          </w:tcPr>
          <w:p w14:paraId="05ACCAE5" w14:textId="5FF9B179" w:rsidR="00E94F5B" w:rsidRPr="003506E5" w:rsidRDefault="00E94F5B" w:rsidP="00E94F5B">
            <w:pPr>
              <w:spacing w:after="0" w:line="240" w:lineRule="auto"/>
              <w:jc w:val="center"/>
              <w:rPr>
                <w:rFonts w:asciiTheme="minorHAnsi" w:eastAsia="Times New Roman" w:hAnsiTheme="minorHAnsi" w:cstheme="minorHAnsi"/>
                <w:b/>
                <w:bCs/>
                <w:color w:val="000000"/>
                <w:sz w:val="20"/>
                <w:szCs w:val="20"/>
                <w:lang w:eastAsia="en-US"/>
              </w:rPr>
            </w:pPr>
          </w:p>
        </w:tc>
      </w:tr>
    </w:tbl>
    <w:p w14:paraId="3D39D939" w14:textId="77777777" w:rsidR="00E94F5B" w:rsidRPr="003506E5" w:rsidRDefault="00E94F5B" w:rsidP="00ED00DE">
      <w:pPr>
        <w:pStyle w:val="CommentText"/>
        <w:rPr>
          <w:noProof/>
          <w:sz w:val="22"/>
          <w:szCs w:val="22"/>
        </w:rPr>
      </w:pPr>
    </w:p>
    <w:p w14:paraId="6FD97071" w14:textId="625A010F" w:rsidR="005F5304" w:rsidRPr="001C4B5B" w:rsidRDefault="005F5304" w:rsidP="00BC0931">
      <w:pPr>
        <w:pStyle w:val="BodyText"/>
        <w:jc w:val="left"/>
        <w:rPr>
          <w:rFonts w:cstheme="minorHAnsi"/>
        </w:rPr>
      </w:pPr>
      <w:r w:rsidRPr="001C4B5B">
        <w:rPr>
          <w:rFonts w:cstheme="minorHAnsi"/>
        </w:rPr>
        <w:t>The above information indicates that most of the patients (</w:t>
      </w:r>
      <w:r w:rsidR="00ED00DE" w:rsidRPr="001C4B5B">
        <w:rPr>
          <w:rFonts w:cstheme="minorHAnsi"/>
        </w:rPr>
        <w:t>9</w:t>
      </w:r>
      <w:r w:rsidR="00CD5335" w:rsidRPr="001C4B5B">
        <w:rPr>
          <w:rFonts w:cstheme="minorHAnsi"/>
        </w:rPr>
        <w:t>4</w:t>
      </w:r>
      <w:r w:rsidRPr="001C4B5B">
        <w:rPr>
          <w:rFonts w:cstheme="minorHAnsi"/>
        </w:rPr>
        <w:t>%) amongst the eligible population got surgical treatment from public sector hospitals whereas the majority of patients (</w:t>
      </w:r>
      <w:r w:rsidR="00CD5335" w:rsidRPr="001C4B5B">
        <w:rPr>
          <w:rFonts w:cstheme="minorHAnsi"/>
        </w:rPr>
        <w:t>89</w:t>
      </w:r>
      <w:r w:rsidRPr="001C4B5B">
        <w:rPr>
          <w:rFonts w:cstheme="minorHAnsi"/>
        </w:rPr>
        <w:t>%) from wider enrolment availed services from private hospitals. The reasons of this pattern of utilisation may include that most of the enrolled households in wider population belongs to catchment population of Aga Khan Health Service, where there is preference to use services from Aga Khan Medical Centre Gilgit (GMC), beneficiaries from eligible population prefer services from particular physicians and surgeons working in public sector hospitals as revealed in exit interviews from patients discharged from public sector health facilities in 2019.</w:t>
      </w:r>
      <w:r w:rsidR="00BC0931">
        <w:rPr>
          <w:rFonts w:cstheme="minorHAnsi"/>
        </w:rPr>
        <w:t xml:space="preserve"> Moreover</w:t>
      </w:r>
      <w:r w:rsidR="00ED00DE" w:rsidRPr="001C4B5B">
        <w:rPr>
          <w:rFonts w:cstheme="minorHAnsi"/>
        </w:rPr>
        <w:t>, AKRSP and JLI field teams identified that hospital choice is determined by patient</w:t>
      </w:r>
      <w:r w:rsidR="00BC0931">
        <w:rPr>
          <w:rFonts w:cstheme="minorHAnsi"/>
        </w:rPr>
        <w:t>s’</w:t>
      </w:r>
      <w:r w:rsidR="00ED00DE" w:rsidRPr="001C4B5B">
        <w:rPr>
          <w:rFonts w:cstheme="minorHAnsi"/>
        </w:rPr>
        <w:t xml:space="preserve"> socioeconomic characteristics </w:t>
      </w:r>
      <w:r w:rsidR="00BC0931">
        <w:rPr>
          <w:rFonts w:cstheme="minorHAnsi"/>
        </w:rPr>
        <w:t xml:space="preserve">and perceptions </w:t>
      </w:r>
      <w:r w:rsidR="00ED00DE" w:rsidRPr="001C4B5B">
        <w:rPr>
          <w:rFonts w:cstheme="minorHAnsi"/>
        </w:rPr>
        <w:t xml:space="preserve">as private hospitals </w:t>
      </w:r>
      <w:r w:rsidR="00BC0931">
        <w:rPr>
          <w:rFonts w:cstheme="minorHAnsi"/>
        </w:rPr>
        <w:t>are</w:t>
      </w:r>
      <w:r w:rsidR="00ED00DE" w:rsidRPr="001C4B5B">
        <w:rPr>
          <w:rFonts w:cstheme="minorHAnsi"/>
        </w:rPr>
        <w:t xml:space="preserve"> quite expensive as compared to the government facilities. Whereas, psychological factors also affect regarding health service use, such as attitudes toward health, values, and knowledge regarding available wellness services.</w:t>
      </w:r>
    </w:p>
    <w:p w14:paraId="03BB80E9" w14:textId="77777777" w:rsidR="005F5304" w:rsidRPr="003506E5" w:rsidRDefault="005F5304" w:rsidP="005F5304">
      <w:pPr>
        <w:pStyle w:val="Heading20"/>
      </w:pPr>
      <w:bookmarkStart w:id="38" w:name="_Toc57215288"/>
      <w:r w:rsidRPr="003506E5">
        <w:lastRenderedPageBreak/>
        <w:t>Quarterly Trend of Admissions</w:t>
      </w:r>
      <w:bookmarkEnd w:id="38"/>
    </w:p>
    <w:p w14:paraId="4B4D26D0" w14:textId="6AEF9BCF" w:rsidR="005F5304" w:rsidRPr="003506E5" w:rsidRDefault="005F5304" w:rsidP="00AB11A0">
      <w:pPr>
        <w:pStyle w:val="BodyText"/>
        <w:jc w:val="left"/>
        <w:rPr>
          <w:noProof/>
        </w:rPr>
      </w:pPr>
      <w:r w:rsidRPr="003506E5">
        <w:rPr>
          <w:noProof/>
        </w:rPr>
        <w:t>The following graph shows the quarterly trend of admissions.</w:t>
      </w:r>
      <w:r w:rsidR="00ED00DE" w:rsidRPr="003506E5">
        <w:rPr>
          <w:noProof/>
        </w:rPr>
        <w:t>In 2020</w:t>
      </w:r>
      <w:r w:rsidRPr="003506E5">
        <w:rPr>
          <w:noProof/>
        </w:rPr>
        <w:t xml:space="preserve"> admissions have fallen </w:t>
      </w:r>
      <w:r w:rsidR="00ED00DE" w:rsidRPr="003506E5">
        <w:rPr>
          <w:noProof/>
        </w:rPr>
        <w:t>overall as compared to 2019.D</w:t>
      </w:r>
      <w:r w:rsidRPr="003506E5">
        <w:rPr>
          <w:noProof/>
        </w:rPr>
        <w:t>uring the reporting period</w:t>
      </w:r>
      <w:r w:rsidR="00ED00DE" w:rsidRPr="003506E5">
        <w:rPr>
          <w:noProof/>
        </w:rPr>
        <w:t>,a</w:t>
      </w:r>
      <w:r w:rsidRPr="003506E5">
        <w:rPr>
          <w:noProof/>
        </w:rPr>
        <w:t xml:space="preserve">dmissions data revealed that in </w:t>
      </w:r>
      <w:r w:rsidR="00ED00DE" w:rsidRPr="003506E5">
        <w:rPr>
          <w:noProof/>
        </w:rPr>
        <w:t xml:space="preserve">third </w:t>
      </w:r>
      <w:r w:rsidRPr="003506E5">
        <w:rPr>
          <w:noProof/>
        </w:rPr>
        <w:t xml:space="preserve"> quarter of 2020 (</w:t>
      </w:r>
      <w:r w:rsidR="00ED00DE" w:rsidRPr="003506E5">
        <w:rPr>
          <w:noProof/>
        </w:rPr>
        <w:t>Jul</w:t>
      </w:r>
      <w:r w:rsidRPr="003506E5">
        <w:rPr>
          <w:noProof/>
        </w:rPr>
        <w:t>-</w:t>
      </w:r>
      <w:r w:rsidR="00ED00DE" w:rsidRPr="003506E5">
        <w:rPr>
          <w:noProof/>
        </w:rPr>
        <w:t>Sep</w:t>
      </w:r>
      <w:r w:rsidRPr="003506E5">
        <w:rPr>
          <w:noProof/>
        </w:rPr>
        <w:t>)</w:t>
      </w:r>
      <w:r w:rsidR="00DE3320" w:rsidRPr="003506E5">
        <w:rPr>
          <w:noProof/>
        </w:rPr>
        <w:t>,</w:t>
      </w:r>
      <w:r w:rsidRPr="003506E5">
        <w:rPr>
          <w:noProof/>
        </w:rPr>
        <w:t xml:space="preserve"> </w:t>
      </w:r>
      <w:r w:rsidR="00ED00DE" w:rsidRPr="003506E5">
        <w:rPr>
          <w:noProof/>
        </w:rPr>
        <w:t>267</w:t>
      </w:r>
      <w:r w:rsidRPr="003506E5">
        <w:rPr>
          <w:noProof/>
        </w:rPr>
        <w:t xml:space="preserve"> beneficiaries were admitted in the hospitals and in </w:t>
      </w:r>
      <w:r w:rsidR="00ED00DE" w:rsidRPr="003506E5">
        <w:rPr>
          <w:noProof/>
        </w:rPr>
        <w:t>fourth</w:t>
      </w:r>
      <w:r w:rsidRPr="003506E5">
        <w:rPr>
          <w:noProof/>
        </w:rPr>
        <w:t xml:space="preserve"> quarter (</w:t>
      </w:r>
      <w:r w:rsidR="00ED00DE" w:rsidRPr="003506E5">
        <w:rPr>
          <w:noProof/>
        </w:rPr>
        <w:t>Oct</w:t>
      </w:r>
      <w:r w:rsidRPr="003506E5">
        <w:rPr>
          <w:noProof/>
        </w:rPr>
        <w:t>-</w:t>
      </w:r>
      <w:r w:rsidR="00ED00DE" w:rsidRPr="003506E5">
        <w:rPr>
          <w:noProof/>
        </w:rPr>
        <w:t>Dec</w:t>
      </w:r>
      <w:r w:rsidRPr="003506E5">
        <w:rPr>
          <w:noProof/>
        </w:rPr>
        <w:t xml:space="preserve">) </w:t>
      </w:r>
      <w:r w:rsidR="00ED00DE" w:rsidRPr="003506E5">
        <w:rPr>
          <w:noProof/>
        </w:rPr>
        <w:t xml:space="preserve">274 </w:t>
      </w:r>
      <w:r w:rsidRPr="003506E5">
        <w:rPr>
          <w:noProof/>
        </w:rPr>
        <w:t xml:space="preserve">clients </w:t>
      </w:r>
      <w:r w:rsidR="00BC0931">
        <w:rPr>
          <w:noProof/>
        </w:rPr>
        <w:t>were managed</w:t>
      </w:r>
      <w:r w:rsidRPr="003506E5">
        <w:rPr>
          <w:noProof/>
        </w:rPr>
        <w:t>.</w:t>
      </w:r>
      <w:r w:rsidR="00AB11A0">
        <w:rPr>
          <w:noProof/>
        </w:rPr>
        <w:t xml:space="preserve"> </w:t>
      </w:r>
    </w:p>
    <w:p w14:paraId="69D6CDEE" w14:textId="2EB9CBF6" w:rsidR="005F5304" w:rsidRPr="003506E5" w:rsidRDefault="005F5304" w:rsidP="005F5304">
      <w:pPr>
        <w:pStyle w:val="Caption"/>
      </w:pPr>
      <w:bookmarkStart w:id="39" w:name="_Toc57215245"/>
      <w:r w:rsidRPr="003506E5">
        <w:t xml:space="preserve">Figure </w:t>
      </w:r>
      <w:r w:rsidR="0049229E">
        <w:fldChar w:fldCharType="begin"/>
      </w:r>
      <w:r w:rsidR="0049229E">
        <w:instrText xml:space="preserve"> SEQ Figure \* ARABIC </w:instrText>
      </w:r>
      <w:r w:rsidR="0049229E">
        <w:fldChar w:fldCharType="separate"/>
      </w:r>
      <w:r w:rsidR="0049229E">
        <w:rPr>
          <w:noProof/>
        </w:rPr>
        <w:t>2</w:t>
      </w:r>
      <w:r w:rsidR="0049229E">
        <w:fldChar w:fldCharType="end"/>
      </w:r>
      <w:r w:rsidRPr="003506E5">
        <w:t>:</w:t>
      </w:r>
      <w:r w:rsidR="00EB1301" w:rsidRPr="003506E5">
        <w:t xml:space="preserve"> </w:t>
      </w:r>
      <w:r w:rsidRPr="003506E5">
        <w:t>Quarterly trend of Admissions</w:t>
      </w:r>
      <w:bookmarkEnd w:id="39"/>
      <w:r w:rsidRPr="003506E5">
        <w:t xml:space="preserve"> </w:t>
      </w:r>
    </w:p>
    <w:p w14:paraId="70A71187" w14:textId="3F9F6CA5" w:rsidR="005F5304" w:rsidRPr="003506E5" w:rsidRDefault="00A53C8F" w:rsidP="005F5304">
      <w:pPr>
        <w:pStyle w:val="OPMBodytext"/>
        <w:keepNext/>
        <w:rPr>
          <w:noProof/>
        </w:rPr>
      </w:pPr>
      <w:r w:rsidRPr="003506E5">
        <w:rPr>
          <w:noProof/>
        </w:rPr>
        <w:drawing>
          <wp:inline distT="0" distB="0" distL="0" distR="0" wp14:anchorId="6217C750" wp14:editId="50B3C8F2">
            <wp:extent cx="5829300" cy="3759200"/>
            <wp:effectExtent l="0" t="0" r="0" b="12700"/>
            <wp:docPr id="3" name="Chart 3">
              <a:extLst xmlns:a="http://schemas.openxmlformats.org/drawingml/2006/main">
                <a:ext uri="{FF2B5EF4-FFF2-40B4-BE49-F238E27FC236}">
                  <a16:creationId xmlns:a16="http://schemas.microsoft.com/office/drawing/2014/main" id="{6BEF09E5-6583-4ECD-92A0-CB8C4ACFA1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45861BA" w14:textId="77777777" w:rsidR="005F5304" w:rsidRPr="003506E5" w:rsidRDefault="005F5304" w:rsidP="005F5304">
      <w:pPr>
        <w:pStyle w:val="OPMBodytext"/>
        <w:keepNext/>
        <w:rPr>
          <w:noProof/>
          <w:lang w:eastAsia="de-DE"/>
        </w:rPr>
      </w:pPr>
    </w:p>
    <w:p w14:paraId="5DA9F5CF" w14:textId="6BFE4B52" w:rsidR="005F5304" w:rsidRPr="003506E5" w:rsidRDefault="00AB11A0" w:rsidP="005F5304">
      <w:pPr>
        <w:pStyle w:val="OPMBodytext"/>
        <w:keepNext/>
        <w:rPr>
          <w:noProof/>
          <w:lang w:eastAsia="de-DE"/>
        </w:rPr>
      </w:pPr>
      <w:r>
        <w:rPr>
          <w:noProof/>
        </w:rPr>
        <w:t>Although service utilisation is showing marginal improvement since 3</w:t>
      </w:r>
      <w:r w:rsidRPr="00AB11A0">
        <w:rPr>
          <w:noProof/>
          <w:vertAlign w:val="superscript"/>
        </w:rPr>
        <w:t>rd</w:t>
      </w:r>
      <w:r>
        <w:rPr>
          <w:noProof/>
        </w:rPr>
        <w:t xml:space="preserve"> quarter comapred to 2</w:t>
      </w:r>
      <w:r w:rsidRPr="00AB11A0">
        <w:rPr>
          <w:noProof/>
          <w:vertAlign w:val="superscript"/>
        </w:rPr>
        <w:t>nd</w:t>
      </w:r>
      <w:r>
        <w:rPr>
          <w:noProof/>
        </w:rPr>
        <w:t xml:space="preserve"> quarter, however it is still low compared to the situation prior to onset of COIVD-19 pandemic. The decline in utilisation by wider population might be due to low renewal rates and low enrolment of new families in 2020.</w:t>
      </w:r>
    </w:p>
    <w:p w14:paraId="5C47ECD9" w14:textId="77777777" w:rsidR="005F5304" w:rsidRPr="003506E5" w:rsidRDefault="005F5304" w:rsidP="005F5304">
      <w:pPr>
        <w:spacing w:after="0" w:line="240" w:lineRule="auto"/>
        <w:rPr>
          <w:rFonts w:eastAsia="Times New Roman" w:cs="Times New Roman"/>
          <w:b/>
          <w:bCs/>
          <w:color w:val="0B1F51"/>
          <w:lang w:eastAsia="en-US"/>
        </w:rPr>
      </w:pPr>
      <w:r w:rsidRPr="003506E5">
        <w:br w:type="page"/>
      </w:r>
    </w:p>
    <w:p w14:paraId="4E563B30" w14:textId="5A289F8E" w:rsidR="005F5304" w:rsidRPr="003506E5" w:rsidRDefault="005F5304" w:rsidP="005F5304">
      <w:pPr>
        <w:pStyle w:val="Caption"/>
      </w:pPr>
      <w:bookmarkStart w:id="40" w:name="_Toc57215232"/>
      <w:r w:rsidRPr="003506E5">
        <w:lastRenderedPageBreak/>
        <w:t xml:space="preserve">Table </w:t>
      </w:r>
      <w:r w:rsidR="00B76041" w:rsidRPr="003506E5">
        <w:fldChar w:fldCharType="begin"/>
      </w:r>
      <w:r w:rsidRPr="003506E5">
        <w:instrText xml:space="preserve"> SEQ Table \* ARABIC </w:instrText>
      </w:r>
      <w:r w:rsidR="00B76041" w:rsidRPr="003506E5">
        <w:fldChar w:fldCharType="separate"/>
      </w:r>
      <w:r w:rsidR="00AE4FA0">
        <w:rPr>
          <w:noProof/>
        </w:rPr>
        <w:t>12</w:t>
      </w:r>
      <w:r w:rsidR="00B76041" w:rsidRPr="003506E5">
        <w:fldChar w:fldCharType="end"/>
      </w:r>
      <w:r w:rsidRPr="003506E5">
        <w:t>:</w:t>
      </w:r>
      <w:r w:rsidR="00EB1301" w:rsidRPr="003506E5">
        <w:t xml:space="preserve"> </w:t>
      </w:r>
      <w:r w:rsidRPr="003506E5">
        <w:t>Overall Number of enrolled households, individuals and quarterly admissions (Eligible Population)</w:t>
      </w:r>
      <w:bookmarkEnd w:id="40"/>
    </w:p>
    <w:tbl>
      <w:tblPr>
        <w:tblW w:w="9500" w:type="dxa"/>
        <w:tblBorders>
          <w:top w:val="single" w:sz="8" w:space="0" w:color="45A7E1"/>
          <w:left w:val="single" w:sz="8" w:space="0" w:color="45A7E1"/>
          <w:bottom w:val="single" w:sz="8" w:space="0" w:color="45A7E1"/>
          <w:right w:val="single" w:sz="8" w:space="0" w:color="45A7E1"/>
          <w:insideH w:val="single" w:sz="8" w:space="0" w:color="45A7E1"/>
          <w:insideV w:val="single" w:sz="8" w:space="0" w:color="45A7E1"/>
        </w:tblBorders>
        <w:tblLook w:val="04A0" w:firstRow="1" w:lastRow="0" w:firstColumn="1" w:lastColumn="0" w:noHBand="0" w:noVBand="1"/>
      </w:tblPr>
      <w:tblGrid>
        <w:gridCol w:w="1963"/>
        <w:gridCol w:w="1428"/>
        <w:gridCol w:w="1714"/>
        <w:gridCol w:w="1753"/>
        <w:gridCol w:w="1459"/>
        <w:gridCol w:w="1183"/>
      </w:tblGrid>
      <w:tr w:rsidR="0098309B" w:rsidRPr="003506E5" w14:paraId="77BE370B" w14:textId="77777777" w:rsidTr="00AB11A0">
        <w:trPr>
          <w:trHeight w:val="1099"/>
        </w:trPr>
        <w:tc>
          <w:tcPr>
            <w:tcW w:w="1963" w:type="dxa"/>
            <w:shd w:val="clear" w:color="000000" w:fill="0B1F51"/>
            <w:vAlign w:val="center"/>
            <w:hideMark/>
          </w:tcPr>
          <w:p w14:paraId="13A9D979" w14:textId="77777777" w:rsidR="0098309B" w:rsidRPr="003506E5" w:rsidRDefault="0098309B" w:rsidP="00351CC2">
            <w:pPr>
              <w:spacing w:after="0" w:line="240" w:lineRule="auto"/>
              <w:jc w:val="center"/>
              <w:rPr>
                <w:rFonts w:eastAsia="Times New Roman"/>
                <w:b/>
                <w:bCs/>
                <w:color w:val="FFFFFF"/>
                <w:sz w:val="20"/>
                <w:szCs w:val="20"/>
                <w:lang w:eastAsia="en-US"/>
              </w:rPr>
            </w:pPr>
            <w:r w:rsidRPr="003506E5">
              <w:rPr>
                <w:rFonts w:eastAsia="Times New Roman"/>
                <w:b/>
                <w:bCs/>
                <w:color w:val="FFFFFF"/>
                <w:sz w:val="20"/>
                <w:szCs w:val="20"/>
                <w:lang w:eastAsia="en-US"/>
              </w:rPr>
              <w:t>Quarter, Year</w:t>
            </w:r>
          </w:p>
        </w:tc>
        <w:tc>
          <w:tcPr>
            <w:tcW w:w="1428" w:type="dxa"/>
            <w:shd w:val="clear" w:color="000000" w:fill="0B1F51"/>
            <w:vAlign w:val="center"/>
            <w:hideMark/>
          </w:tcPr>
          <w:p w14:paraId="7608A316" w14:textId="77777777" w:rsidR="0098309B" w:rsidRPr="003506E5" w:rsidRDefault="0098309B" w:rsidP="00351CC2">
            <w:pPr>
              <w:spacing w:after="0" w:line="240" w:lineRule="auto"/>
              <w:jc w:val="center"/>
              <w:rPr>
                <w:rFonts w:eastAsia="Times New Roman"/>
                <w:b/>
                <w:bCs/>
                <w:color w:val="FFFFFF"/>
                <w:sz w:val="20"/>
                <w:szCs w:val="20"/>
                <w:lang w:eastAsia="en-US"/>
              </w:rPr>
            </w:pPr>
            <w:r w:rsidRPr="003506E5">
              <w:rPr>
                <w:rFonts w:eastAsia="Times New Roman"/>
                <w:b/>
                <w:bCs/>
                <w:color w:val="FFFFFF"/>
                <w:sz w:val="20"/>
                <w:szCs w:val="20"/>
                <w:lang w:eastAsia="en-US"/>
              </w:rPr>
              <w:t>HHs enrolled (Cumulative)</w:t>
            </w:r>
          </w:p>
        </w:tc>
        <w:tc>
          <w:tcPr>
            <w:tcW w:w="1714" w:type="dxa"/>
            <w:shd w:val="clear" w:color="000000" w:fill="0B1F51"/>
            <w:vAlign w:val="center"/>
            <w:hideMark/>
          </w:tcPr>
          <w:p w14:paraId="446582AC" w14:textId="77777777" w:rsidR="0098309B" w:rsidRDefault="0098309B" w:rsidP="00351CC2">
            <w:pPr>
              <w:spacing w:after="0" w:line="240" w:lineRule="auto"/>
              <w:jc w:val="center"/>
              <w:rPr>
                <w:rFonts w:eastAsia="Times New Roman"/>
                <w:b/>
                <w:bCs/>
                <w:color w:val="FFFFFF"/>
                <w:sz w:val="20"/>
                <w:szCs w:val="20"/>
                <w:lang w:eastAsia="en-US"/>
              </w:rPr>
            </w:pPr>
            <w:r w:rsidRPr="003506E5">
              <w:rPr>
                <w:rFonts w:eastAsia="Times New Roman"/>
                <w:b/>
                <w:bCs/>
                <w:color w:val="FFFFFF"/>
                <w:sz w:val="20"/>
                <w:szCs w:val="20"/>
                <w:lang w:eastAsia="en-US"/>
              </w:rPr>
              <w:t>Lives Insured</w:t>
            </w:r>
          </w:p>
          <w:p w14:paraId="0552C7BF" w14:textId="77777777" w:rsidR="0098309B" w:rsidRPr="009E75E6" w:rsidRDefault="0098309B" w:rsidP="00351CC2">
            <w:pPr>
              <w:pStyle w:val="BodyText"/>
              <w:jc w:val="center"/>
              <w:rPr>
                <w:lang w:eastAsia="en-US"/>
              </w:rPr>
            </w:pPr>
            <w:r w:rsidRPr="003506E5">
              <w:rPr>
                <w:rFonts w:eastAsia="Times New Roman"/>
                <w:b/>
                <w:bCs/>
                <w:color w:val="FFFFFF"/>
                <w:sz w:val="20"/>
                <w:szCs w:val="20"/>
                <w:lang w:eastAsia="en-US"/>
              </w:rPr>
              <w:t>(Cumulative)</w:t>
            </w:r>
          </w:p>
        </w:tc>
        <w:tc>
          <w:tcPr>
            <w:tcW w:w="1753" w:type="dxa"/>
            <w:shd w:val="clear" w:color="000000" w:fill="0B1F51"/>
            <w:vAlign w:val="center"/>
            <w:hideMark/>
          </w:tcPr>
          <w:p w14:paraId="53C593E5" w14:textId="77777777" w:rsidR="0098309B" w:rsidRDefault="0098309B" w:rsidP="00351CC2">
            <w:pPr>
              <w:spacing w:after="0" w:line="240" w:lineRule="auto"/>
              <w:jc w:val="center"/>
              <w:rPr>
                <w:rFonts w:eastAsia="Times New Roman"/>
                <w:b/>
                <w:bCs/>
                <w:color w:val="FFFFFF"/>
                <w:sz w:val="20"/>
                <w:szCs w:val="20"/>
                <w:lang w:eastAsia="en-US"/>
              </w:rPr>
            </w:pPr>
            <w:r w:rsidRPr="003506E5">
              <w:rPr>
                <w:rFonts w:eastAsia="Times New Roman"/>
                <w:b/>
                <w:bCs/>
                <w:color w:val="FFFFFF"/>
                <w:sz w:val="20"/>
                <w:szCs w:val="20"/>
                <w:lang w:eastAsia="en-US"/>
              </w:rPr>
              <w:t>Admissions</w:t>
            </w:r>
          </w:p>
          <w:p w14:paraId="5DC7AA28" w14:textId="77777777" w:rsidR="0098309B" w:rsidRPr="009E75E6" w:rsidRDefault="0098309B" w:rsidP="00351CC2">
            <w:pPr>
              <w:pStyle w:val="BodyText"/>
              <w:jc w:val="center"/>
              <w:rPr>
                <w:lang w:eastAsia="en-US"/>
              </w:rPr>
            </w:pPr>
            <w:r w:rsidRPr="003506E5">
              <w:rPr>
                <w:rFonts w:eastAsia="Times New Roman"/>
                <w:b/>
                <w:bCs/>
                <w:color w:val="FFFFFF"/>
                <w:sz w:val="20"/>
                <w:szCs w:val="20"/>
                <w:lang w:eastAsia="en-US"/>
              </w:rPr>
              <w:t>(In the quarter</w:t>
            </w:r>
            <w:r>
              <w:rPr>
                <w:rFonts w:eastAsia="Times New Roman"/>
                <w:b/>
                <w:bCs/>
                <w:color w:val="FFFFFF"/>
                <w:sz w:val="20"/>
                <w:szCs w:val="20"/>
                <w:lang w:eastAsia="en-US"/>
              </w:rPr>
              <w:t>)</w:t>
            </w:r>
          </w:p>
        </w:tc>
        <w:tc>
          <w:tcPr>
            <w:tcW w:w="1459" w:type="dxa"/>
            <w:shd w:val="clear" w:color="000000" w:fill="0B1F51"/>
            <w:vAlign w:val="center"/>
            <w:hideMark/>
          </w:tcPr>
          <w:p w14:paraId="4FD7A4EF" w14:textId="77777777" w:rsidR="0098309B" w:rsidRPr="00E54CD3" w:rsidRDefault="0098309B" w:rsidP="00351CC2">
            <w:pPr>
              <w:spacing w:after="0" w:line="240" w:lineRule="auto"/>
              <w:jc w:val="center"/>
              <w:rPr>
                <w:rFonts w:eastAsia="Times New Roman"/>
                <w:b/>
                <w:bCs/>
                <w:color w:val="FFFFFF"/>
                <w:sz w:val="20"/>
                <w:szCs w:val="20"/>
                <w:lang w:eastAsia="en-US"/>
              </w:rPr>
            </w:pPr>
            <w:r w:rsidRPr="003506E5">
              <w:rPr>
                <w:rFonts w:eastAsia="Times New Roman"/>
                <w:b/>
                <w:bCs/>
                <w:color w:val="FFFFFF"/>
                <w:sz w:val="20"/>
                <w:szCs w:val="20"/>
                <w:lang w:eastAsia="en-US"/>
              </w:rPr>
              <w:t>Quarterly</w:t>
            </w:r>
          </w:p>
        </w:tc>
        <w:tc>
          <w:tcPr>
            <w:tcW w:w="1183" w:type="dxa"/>
            <w:shd w:val="clear" w:color="000000" w:fill="0B1F51"/>
            <w:vAlign w:val="center"/>
            <w:hideMark/>
          </w:tcPr>
          <w:p w14:paraId="1EDF4DF3" w14:textId="77777777" w:rsidR="0098309B" w:rsidRPr="003506E5" w:rsidRDefault="0098309B" w:rsidP="00351CC2">
            <w:pPr>
              <w:spacing w:after="0" w:line="240" w:lineRule="auto"/>
              <w:jc w:val="center"/>
              <w:rPr>
                <w:rFonts w:eastAsia="Times New Roman"/>
                <w:b/>
                <w:bCs/>
                <w:color w:val="FFFFFF"/>
                <w:sz w:val="20"/>
                <w:szCs w:val="20"/>
                <w:lang w:eastAsia="en-US"/>
              </w:rPr>
            </w:pPr>
            <w:r w:rsidRPr="003506E5">
              <w:rPr>
                <w:rFonts w:eastAsia="Times New Roman"/>
                <w:b/>
                <w:bCs/>
                <w:color w:val="FFFFFF"/>
                <w:sz w:val="20"/>
                <w:szCs w:val="20"/>
                <w:lang w:eastAsia="en-US"/>
              </w:rPr>
              <w:t>Annual Utilisation Rate (%)</w:t>
            </w:r>
          </w:p>
        </w:tc>
      </w:tr>
      <w:tr w:rsidR="0098309B" w:rsidRPr="003506E5" w14:paraId="46D7FF00" w14:textId="77777777" w:rsidTr="00AB11A0">
        <w:trPr>
          <w:trHeight w:val="360"/>
        </w:trPr>
        <w:tc>
          <w:tcPr>
            <w:tcW w:w="1963" w:type="dxa"/>
            <w:shd w:val="clear" w:color="000000" w:fill="DBE4ED"/>
            <w:vAlign w:val="center"/>
            <w:hideMark/>
          </w:tcPr>
          <w:p w14:paraId="5752A40B" w14:textId="77777777" w:rsidR="0098309B" w:rsidRPr="003506E5" w:rsidRDefault="0098309B" w:rsidP="00351CC2">
            <w:pPr>
              <w:spacing w:after="0" w:line="240" w:lineRule="auto"/>
              <w:rPr>
                <w:rFonts w:eastAsia="Times New Roman"/>
                <w:b/>
                <w:bCs/>
                <w:color w:val="0B1F51"/>
                <w:sz w:val="20"/>
                <w:szCs w:val="20"/>
                <w:lang w:eastAsia="en-US"/>
              </w:rPr>
            </w:pPr>
            <w:r w:rsidRPr="003506E5">
              <w:rPr>
                <w:rFonts w:eastAsia="Times New Roman"/>
                <w:b/>
                <w:bCs/>
                <w:color w:val="0B1F51"/>
                <w:sz w:val="20"/>
                <w:szCs w:val="20"/>
                <w:lang w:eastAsia="en-US"/>
              </w:rPr>
              <w:t>Quarter 1, 2017</w:t>
            </w:r>
          </w:p>
        </w:tc>
        <w:tc>
          <w:tcPr>
            <w:tcW w:w="1428" w:type="dxa"/>
            <w:shd w:val="clear" w:color="000000" w:fill="DBE4ED"/>
            <w:noWrap/>
            <w:vAlign w:val="center"/>
            <w:hideMark/>
          </w:tcPr>
          <w:p w14:paraId="186C2E5D" w14:textId="77777777" w:rsidR="0098309B" w:rsidRPr="003506E5" w:rsidRDefault="0098309B" w:rsidP="00351CC2">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5334</w:t>
            </w:r>
          </w:p>
        </w:tc>
        <w:tc>
          <w:tcPr>
            <w:tcW w:w="1714" w:type="dxa"/>
            <w:shd w:val="clear" w:color="000000" w:fill="DBE4ED"/>
            <w:noWrap/>
            <w:vAlign w:val="center"/>
            <w:hideMark/>
          </w:tcPr>
          <w:p w14:paraId="093B5CA3" w14:textId="77777777" w:rsidR="0098309B" w:rsidRPr="003506E5" w:rsidRDefault="0098309B" w:rsidP="00351CC2">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35622</w:t>
            </w:r>
          </w:p>
        </w:tc>
        <w:tc>
          <w:tcPr>
            <w:tcW w:w="1753" w:type="dxa"/>
            <w:shd w:val="clear" w:color="000000" w:fill="DBE4ED"/>
            <w:noWrap/>
            <w:vAlign w:val="center"/>
            <w:hideMark/>
          </w:tcPr>
          <w:p w14:paraId="455D8B31" w14:textId="77777777" w:rsidR="0098309B" w:rsidRPr="003506E5" w:rsidRDefault="0098309B" w:rsidP="00351CC2">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72</w:t>
            </w:r>
          </w:p>
        </w:tc>
        <w:tc>
          <w:tcPr>
            <w:tcW w:w="1459" w:type="dxa"/>
            <w:shd w:val="clear" w:color="000000" w:fill="DBE4ED"/>
            <w:vAlign w:val="center"/>
            <w:hideMark/>
          </w:tcPr>
          <w:p w14:paraId="30B1B68F" w14:textId="77777777" w:rsidR="0098309B" w:rsidRPr="003506E5" w:rsidRDefault="0098309B" w:rsidP="00351CC2">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0.2</w:t>
            </w:r>
            <w:r>
              <w:rPr>
                <w:rFonts w:eastAsia="Times New Roman"/>
                <w:color w:val="000000"/>
                <w:sz w:val="20"/>
                <w:szCs w:val="20"/>
                <w:lang w:eastAsia="en-US"/>
              </w:rPr>
              <w:t>0</w:t>
            </w:r>
          </w:p>
        </w:tc>
        <w:tc>
          <w:tcPr>
            <w:tcW w:w="1183" w:type="dxa"/>
            <w:vMerge w:val="restart"/>
            <w:shd w:val="clear" w:color="000000" w:fill="DBE4ED"/>
            <w:vAlign w:val="center"/>
            <w:hideMark/>
          </w:tcPr>
          <w:p w14:paraId="2CB56B09" w14:textId="77777777" w:rsidR="0098309B" w:rsidRPr="003506E5" w:rsidRDefault="0098309B" w:rsidP="00351CC2">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1.65</w:t>
            </w:r>
          </w:p>
        </w:tc>
      </w:tr>
      <w:tr w:rsidR="0098309B" w:rsidRPr="003506E5" w14:paraId="1CA30E77" w14:textId="77777777" w:rsidTr="00AB11A0">
        <w:trPr>
          <w:trHeight w:val="360"/>
        </w:trPr>
        <w:tc>
          <w:tcPr>
            <w:tcW w:w="1963" w:type="dxa"/>
            <w:shd w:val="clear" w:color="000000" w:fill="DBE4ED"/>
            <w:vAlign w:val="center"/>
            <w:hideMark/>
          </w:tcPr>
          <w:p w14:paraId="675E8ED2" w14:textId="77777777" w:rsidR="0098309B" w:rsidRPr="003506E5" w:rsidRDefault="0098309B" w:rsidP="00351CC2">
            <w:pPr>
              <w:spacing w:after="0" w:line="240" w:lineRule="auto"/>
              <w:rPr>
                <w:rFonts w:eastAsia="Times New Roman"/>
                <w:b/>
                <w:bCs/>
                <w:color w:val="0B1F51"/>
                <w:sz w:val="20"/>
                <w:szCs w:val="20"/>
                <w:lang w:eastAsia="en-US"/>
              </w:rPr>
            </w:pPr>
            <w:r w:rsidRPr="003506E5">
              <w:rPr>
                <w:rFonts w:eastAsia="Times New Roman"/>
                <w:b/>
                <w:bCs/>
                <w:color w:val="0B1F51"/>
                <w:sz w:val="20"/>
                <w:szCs w:val="20"/>
                <w:lang w:eastAsia="en-US"/>
              </w:rPr>
              <w:t>Quarter 2, 2017</w:t>
            </w:r>
          </w:p>
        </w:tc>
        <w:tc>
          <w:tcPr>
            <w:tcW w:w="1428" w:type="dxa"/>
            <w:shd w:val="clear" w:color="000000" w:fill="DBE4ED"/>
            <w:noWrap/>
            <w:vAlign w:val="center"/>
            <w:hideMark/>
          </w:tcPr>
          <w:p w14:paraId="3199F6BE" w14:textId="77777777" w:rsidR="0098309B" w:rsidRPr="003506E5" w:rsidRDefault="0098309B" w:rsidP="00351CC2">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5334</w:t>
            </w:r>
          </w:p>
        </w:tc>
        <w:tc>
          <w:tcPr>
            <w:tcW w:w="1714" w:type="dxa"/>
            <w:shd w:val="clear" w:color="000000" w:fill="DBE4ED"/>
            <w:noWrap/>
            <w:vAlign w:val="center"/>
            <w:hideMark/>
          </w:tcPr>
          <w:p w14:paraId="7A9B9270" w14:textId="77777777" w:rsidR="0098309B" w:rsidRPr="003506E5" w:rsidRDefault="0098309B" w:rsidP="00351CC2">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35622</w:t>
            </w:r>
          </w:p>
        </w:tc>
        <w:tc>
          <w:tcPr>
            <w:tcW w:w="1753" w:type="dxa"/>
            <w:shd w:val="clear" w:color="000000" w:fill="DBE4ED"/>
            <w:noWrap/>
            <w:vAlign w:val="center"/>
            <w:hideMark/>
          </w:tcPr>
          <w:p w14:paraId="3D4DD477" w14:textId="77777777" w:rsidR="0098309B" w:rsidRPr="003506E5" w:rsidRDefault="0098309B" w:rsidP="00351CC2">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241</w:t>
            </w:r>
          </w:p>
        </w:tc>
        <w:tc>
          <w:tcPr>
            <w:tcW w:w="1459" w:type="dxa"/>
            <w:shd w:val="clear" w:color="000000" w:fill="DBE4ED"/>
            <w:vAlign w:val="center"/>
            <w:hideMark/>
          </w:tcPr>
          <w:p w14:paraId="6DDCA3C8" w14:textId="77777777" w:rsidR="0098309B" w:rsidRPr="003506E5" w:rsidRDefault="0098309B" w:rsidP="00351CC2">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0.68</w:t>
            </w:r>
          </w:p>
        </w:tc>
        <w:tc>
          <w:tcPr>
            <w:tcW w:w="1183" w:type="dxa"/>
            <w:vMerge/>
            <w:vAlign w:val="center"/>
            <w:hideMark/>
          </w:tcPr>
          <w:p w14:paraId="44842598" w14:textId="77777777" w:rsidR="0098309B" w:rsidRPr="003506E5" w:rsidRDefault="0098309B" w:rsidP="00351CC2">
            <w:pPr>
              <w:spacing w:after="0" w:line="240" w:lineRule="auto"/>
              <w:rPr>
                <w:rFonts w:eastAsia="Times New Roman"/>
                <w:color w:val="000000"/>
                <w:sz w:val="20"/>
                <w:szCs w:val="20"/>
                <w:lang w:eastAsia="en-US"/>
              </w:rPr>
            </w:pPr>
          </w:p>
        </w:tc>
      </w:tr>
      <w:tr w:rsidR="0098309B" w:rsidRPr="003506E5" w14:paraId="6172DD53" w14:textId="77777777" w:rsidTr="00AB11A0">
        <w:trPr>
          <w:trHeight w:val="360"/>
        </w:trPr>
        <w:tc>
          <w:tcPr>
            <w:tcW w:w="1963" w:type="dxa"/>
            <w:shd w:val="clear" w:color="000000" w:fill="DBE4ED"/>
            <w:vAlign w:val="center"/>
            <w:hideMark/>
          </w:tcPr>
          <w:p w14:paraId="366EA154" w14:textId="77777777" w:rsidR="0098309B" w:rsidRPr="003506E5" w:rsidRDefault="0098309B" w:rsidP="00351CC2">
            <w:pPr>
              <w:spacing w:after="0" w:line="240" w:lineRule="auto"/>
              <w:rPr>
                <w:rFonts w:eastAsia="Times New Roman"/>
                <w:b/>
                <w:bCs/>
                <w:color w:val="0B1F51"/>
                <w:sz w:val="20"/>
                <w:szCs w:val="20"/>
                <w:lang w:eastAsia="en-US"/>
              </w:rPr>
            </w:pPr>
            <w:r w:rsidRPr="003506E5">
              <w:rPr>
                <w:rFonts w:eastAsia="Times New Roman"/>
                <w:b/>
                <w:bCs/>
                <w:color w:val="0B1F51"/>
                <w:sz w:val="20"/>
                <w:szCs w:val="20"/>
                <w:lang w:eastAsia="en-US"/>
              </w:rPr>
              <w:t>Quarter 3, 2017</w:t>
            </w:r>
          </w:p>
        </w:tc>
        <w:tc>
          <w:tcPr>
            <w:tcW w:w="1428" w:type="dxa"/>
            <w:shd w:val="clear" w:color="000000" w:fill="DBE4ED"/>
            <w:noWrap/>
            <w:vAlign w:val="center"/>
            <w:hideMark/>
          </w:tcPr>
          <w:p w14:paraId="4D2FF2E6" w14:textId="77777777" w:rsidR="0098309B" w:rsidRPr="003506E5" w:rsidRDefault="0098309B" w:rsidP="00351CC2">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5334</w:t>
            </w:r>
          </w:p>
        </w:tc>
        <w:tc>
          <w:tcPr>
            <w:tcW w:w="1714" w:type="dxa"/>
            <w:shd w:val="clear" w:color="000000" w:fill="DBE4ED"/>
            <w:noWrap/>
            <w:vAlign w:val="center"/>
            <w:hideMark/>
          </w:tcPr>
          <w:p w14:paraId="43864429" w14:textId="77777777" w:rsidR="0098309B" w:rsidRPr="003506E5" w:rsidRDefault="0098309B" w:rsidP="00351CC2">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35622</w:t>
            </w:r>
          </w:p>
        </w:tc>
        <w:tc>
          <w:tcPr>
            <w:tcW w:w="1753" w:type="dxa"/>
            <w:shd w:val="clear" w:color="000000" w:fill="DBE4ED"/>
            <w:noWrap/>
            <w:vAlign w:val="center"/>
            <w:hideMark/>
          </w:tcPr>
          <w:p w14:paraId="10F1B43C" w14:textId="77777777" w:rsidR="0098309B" w:rsidRPr="003506E5" w:rsidRDefault="0098309B" w:rsidP="00351CC2">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123</w:t>
            </w:r>
          </w:p>
        </w:tc>
        <w:tc>
          <w:tcPr>
            <w:tcW w:w="1459" w:type="dxa"/>
            <w:shd w:val="clear" w:color="000000" w:fill="DBE4ED"/>
            <w:vAlign w:val="center"/>
            <w:hideMark/>
          </w:tcPr>
          <w:p w14:paraId="239C2562" w14:textId="77777777" w:rsidR="0098309B" w:rsidRPr="003506E5" w:rsidRDefault="0098309B" w:rsidP="00351CC2">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0.35</w:t>
            </w:r>
          </w:p>
        </w:tc>
        <w:tc>
          <w:tcPr>
            <w:tcW w:w="1183" w:type="dxa"/>
            <w:vMerge/>
            <w:vAlign w:val="center"/>
            <w:hideMark/>
          </w:tcPr>
          <w:p w14:paraId="3852F44C" w14:textId="77777777" w:rsidR="0098309B" w:rsidRPr="003506E5" w:rsidRDefault="0098309B" w:rsidP="00351CC2">
            <w:pPr>
              <w:spacing w:after="0" w:line="240" w:lineRule="auto"/>
              <w:rPr>
                <w:rFonts w:eastAsia="Times New Roman"/>
                <w:color w:val="000000"/>
                <w:sz w:val="20"/>
                <w:szCs w:val="20"/>
                <w:lang w:eastAsia="en-US"/>
              </w:rPr>
            </w:pPr>
          </w:p>
        </w:tc>
      </w:tr>
      <w:tr w:rsidR="0098309B" w:rsidRPr="003506E5" w14:paraId="41A3BC2A" w14:textId="77777777" w:rsidTr="00AB11A0">
        <w:trPr>
          <w:trHeight w:val="360"/>
        </w:trPr>
        <w:tc>
          <w:tcPr>
            <w:tcW w:w="1963" w:type="dxa"/>
            <w:shd w:val="clear" w:color="000000" w:fill="DBE4ED"/>
            <w:vAlign w:val="center"/>
            <w:hideMark/>
          </w:tcPr>
          <w:p w14:paraId="0EA1B191" w14:textId="77777777" w:rsidR="0098309B" w:rsidRPr="003506E5" w:rsidRDefault="0098309B" w:rsidP="00351CC2">
            <w:pPr>
              <w:spacing w:after="0" w:line="240" w:lineRule="auto"/>
              <w:rPr>
                <w:rFonts w:eastAsia="Times New Roman"/>
                <w:b/>
                <w:bCs/>
                <w:color w:val="0B1F51"/>
                <w:sz w:val="20"/>
                <w:szCs w:val="20"/>
                <w:lang w:eastAsia="en-US"/>
              </w:rPr>
            </w:pPr>
            <w:r w:rsidRPr="003506E5">
              <w:rPr>
                <w:rFonts w:eastAsia="Times New Roman"/>
                <w:b/>
                <w:bCs/>
                <w:color w:val="0B1F51"/>
                <w:sz w:val="20"/>
                <w:szCs w:val="20"/>
                <w:lang w:eastAsia="en-US"/>
              </w:rPr>
              <w:t>Quarter 4, 2017</w:t>
            </w:r>
          </w:p>
        </w:tc>
        <w:tc>
          <w:tcPr>
            <w:tcW w:w="1428" w:type="dxa"/>
            <w:shd w:val="clear" w:color="000000" w:fill="DBE4ED"/>
            <w:noWrap/>
            <w:vAlign w:val="center"/>
            <w:hideMark/>
          </w:tcPr>
          <w:p w14:paraId="6C25B72E" w14:textId="77777777" w:rsidR="0098309B" w:rsidRPr="003506E5" w:rsidRDefault="0098309B" w:rsidP="00351CC2">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5340</w:t>
            </w:r>
          </w:p>
        </w:tc>
        <w:tc>
          <w:tcPr>
            <w:tcW w:w="1714" w:type="dxa"/>
            <w:shd w:val="clear" w:color="000000" w:fill="DBE4ED"/>
            <w:noWrap/>
            <w:vAlign w:val="center"/>
            <w:hideMark/>
          </w:tcPr>
          <w:p w14:paraId="7DF13FB1" w14:textId="77777777" w:rsidR="0098309B" w:rsidRPr="003506E5" w:rsidRDefault="0098309B" w:rsidP="00351CC2">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35671</w:t>
            </w:r>
          </w:p>
        </w:tc>
        <w:tc>
          <w:tcPr>
            <w:tcW w:w="1753" w:type="dxa"/>
            <w:shd w:val="clear" w:color="000000" w:fill="DBE4ED"/>
            <w:noWrap/>
            <w:vAlign w:val="center"/>
            <w:hideMark/>
          </w:tcPr>
          <w:p w14:paraId="2B255D5E" w14:textId="77777777" w:rsidR="0098309B" w:rsidRPr="003506E5" w:rsidRDefault="0098309B" w:rsidP="00351CC2">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151</w:t>
            </w:r>
          </w:p>
        </w:tc>
        <w:tc>
          <w:tcPr>
            <w:tcW w:w="1459" w:type="dxa"/>
            <w:shd w:val="clear" w:color="000000" w:fill="DBE4ED"/>
            <w:vAlign w:val="center"/>
            <w:hideMark/>
          </w:tcPr>
          <w:p w14:paraId="537BA08F" w14:textId="77777777" w:rsidR="0098309B" w:rsidRPr="003506E5" w:rsidRDefault="0098309B" w:rsidP="00351CC2">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0.42</w:t>
            </w:r>
          </w:p>
        </w:tc>
        <w:tc>
          <w:tcPr>
            <w:tcW w:w="1183" w:type="dxa"/>
            <w:vMerge/>
            <w:vAlign w:val="center"/>
            <w:hideMark/>
          </w:tcPr>
          <w:p w14:paraId="48CB7DBE" w14:textId="77777777" w:rsidR="0098309B" w:rsidRPr="003506E5" w:rsidRDefault="0098309B" w:rsidP="00351CC2">
            <w:pPr>
              <w:spacing w:after="0" w:line="240" w:lineRule="auto"/>
              <w:rPr>
                <w:rFonts w:eastAsia="Times New Roman"/>
                <w:color w:val="000000"/>
                <w:sz w:val="20"/>
                <w:szCs w:val="20"/>
                <w:lang w:eastAsia="en-US"/>
              </w:rPr>
            </w:pPr>
          </w:p>
        </w:tc>
      </w:tr>
      <w:tr w:rsidR="0098309B" w:rsidRPr="003506E5" w14:paraId="43167D3A" w14:textId="77777777" w:rsidTr="00AB11A0">
        <w:trPr>
          <w:trHeight w:val="360"/>
        </w:trPr>
        <w:tc>
          <w:tcPr>
            <w:tcW w:w="1963" w:type="dxa"/>
            <w:shd w:val="clear" w:color="000000" w:fill="DBE4ED"/>
            <w:vAlign w:val="center"/>
            <w:hideMark/>
          </w:tcPr>
          <w:p w14:paraId="41765E71" w14:textId="77777777" w:rsidR="0098309B" w:rsidRPr="003506E5" w:rsidRDefault="0098309B" w:rsidP="00351CC2">
            <w:pPr>
              <w:spacing w:after="0" w:line="240" w:lineRule="auto"/>
              <w:rPr>
                <w:rFonts w:eastAsia="Times New Roman"/>
                <w:b/>
                <w:bCs/>
                <w:color w:val="0B1F51"/>
                <w:sz w:val="20"/>
                <w:szCs w:val="20"/>
                <w:lang w:eastAsia="en-US"/>
              </w:rPr>
            </w:pPr>
            <w:r w:rsidRPr="003506E5">
              <w:rPr>
                <w:rFonts w:eastAsia="Times New Roman"/>
                <w:b/>
                <w:bCs/>
                <w:color w:val="0B1F51"/>
                <w:sz w:val="20"/>
                <w:szCs w:val="20"/>
                <w:lang w:eastAsia="en-US"/>
              </w:rPr>
              <w:t>Quarter 1, 2018</w:t>
            </w:r>
          </w:p>
        </w:tc>
        <w:tc>
          <w:tcPr>
            <w:tcW w:w="1428" w:type="dxa"/>
            <w:shd w:val="clear" w:color="000000" w:fill="DBE4ED"/>
            <w:noWrap/>
            <w:vAlign w:val="center"/>
            <w:hideMark/>
          </w:tcPr>
          <w:p w14:paraId="7511DDF4" w14:textId="77777777" w:rsidR="0098309B" w:rsidRPr="003506E5" w:rsidRDefault="0098309B" w:rsidP="00351CC2">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5340</w:t>
            </w:r>
          </w:p>
        </w:tc>
        <w:tc>
          <w:tcPr>
            <w:tcW w:w="1714" w:type="dxa"/>
            <w:shd w:val="clear" w:color="000000" w:fill="DBE4ED"/>
            <w:noWrap/>
            <w:vAlign w:val="center"/>
            <w:hideMark/>
          </w:tcPr>
          <w:p w14:paraId="497CCFBA" w14:textId="77777777" w:rsidR="0098309B" w:rsidRPr="003506E5" w:rsidRDefault="0098309B" w:rsidP="00351CC2">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35671</w:t>
            </w:r>
          </w:p>
        </w:tc>
        <w:tc>
          <w:tcPr>
            <w:tcW w:w="1753" w:type="dxa"/>
            <w:shd w:val="clear" w:color="000000" w:fill="DBE4ED"/>
            <w:noWrap/>
            <w:vAlign w:val="center"/>
            <w:hideMark/>
          </w:tcPr>
          <w:p w14:paraId="5439F699" w14:textId="77777777" w:rsidR="0098309B" w:rsidRPr="003506E5" w:rsidRDefault="0098309B" w:rsidP="00351CC2">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199</w:t>
            </w:r>
          </w:p>
        </w:tc>
        <w:tc>
          <w:tcPr>
            <w:tcW w:w="1459" w:type="dxa"/>
            <w:shd w:val="clear" w:color="000000" w:fill="DBE4ED"/>
            <w:vAlign w:val="center"/>
            <w:hideMark/>
          </w:tcPr>
          <w:p w14:paraId="4EB6383A" w14:textId="77777777" w:rsidR="0098309B" w:rsidRPr="003506E5" w:rsidRDefault="0098309B" w:rsidP="00351CC2">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0.56</w:t>
            </w:r>
          </w:p>
        </w:tc>
        <w:tc>
          <w:tcPr>
            <w:tcW w:w="1183" w:type="dxa"/>
            <w:vMerge w:val="restart"/>
            <w:shd w:val="clear" w:color="000000" w:fill="DBE4ED"/>
            <w:vAlign w:val="center"/>
            <w:hideMark/>
          </w:tcPr>
          <w:p w14:paraId="3F97F172" w14:textId="77777777" w:rsidR="0098309B" w:rsidRPr="003506E5" w:rsidRDefault="0098309B" w:rsidP="00351CC2">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2.35</w:t>
            </w:r>
          </w:p>
        </w:tc>
      </w:tr>
      <w:tr w:rsidR="0098309B" w:rsidRPr="003506E5" w14:paraId="246C35BD" w14:textId="77777777" w:rsidTr="00AB11A0">
        <w:trPr>
          <w:trHeight w:val="360"/>
        </w:trPr>
        <w:tc>
          <w:tcPr>
            <w:tcW w:w="1963" w:type="dxa"/>
            <w:shd w:val="clear" w:color="000000" w:fill="DBE4ED"/>
            <w:vAlign w:val="center"/>
            <w:hideMark/>
          </w:tcPr>
          <w:p w14:paraId="50CEF99A" w14:textId="77777777" w:rsidR="0098309B" w:rsidRPr="003506E5" w:rsidRDefault="0098309B" w:rsidP="00351CC2">
            <w:pPr>
              <w:spacing w:after="0" w:line="240" w:lineRule="auto"/>
              <w:rPr>
                <w:rFonts w:eastAsia="Times New Roman"/>
                <w:b/>
                <w:bCs/>
                <w:color w:val="0B1F51"/>
                <w:sz w:val="20"/>
                <w:szCs w:val="20"/>
                <w:lang w:eastAsia="en-US"/>
              </w:rPr>
            </w:pPr>
            <w:r w:rsidRPr="003506E5">
              <w:rPr>
                <w:rFonts w:eastAsia="Times New Roman"/>
                <w:b/>
                <w:bCs/>
                <w:color w:val="0B1F51"/>
                <w:sz w:val="20"/>
                <w:szCs w:val="20"/>
                <w:lang w:eastAsia="en-US"/>
              </w:rPr>
              <w:t>Quarter 2, 2018</w:t>
            </w:r>
          </w:p>
        </w:tc>
        <w:tc>
          <w:tcPr>
            <w:tcW w:w="1428" w:type="dxa"/>
            <w:shd w:val="clear" w:color="000000" w:fill="DBE4ED"/>
            <w:noWrap/>
            <w:vAlign w:val="center"/>
            <w:hideMark/>
          </w:tcPr>
          <w:p w14:paraId="2F4A797D" w14:textId="77777777" w:rsidR="0098309B" w:rsidRPr="003506E5" w:rsidRDefault="0098309B" w:rsidP="00351CC2">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5340</w:t>
            </w:r>
          </w:p>
        </w:tc>
        <w:tc>
          <w:tcPr>
            <w:tcW w:w="1714" w:type="dxa"/>
            <w:shd w:val="clear" w:color="000000" w:fill="DBE4ED"/>
            <w:noWrap/>
            <w:vAlign w:val="center"/>
            <w:hideMark/>
          </w:tcPr>
          <w:p w14:paraId="57238381" w14:textId="77777777" w:rsidR="0098309B" w:rsidRPr="003506E5" w:rsidRDefault="0098309B" w:rsidP="00351CC2">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35671</w:t>
            </w:r>
          </w:p>
        </w:tc>
        <w:tc>
          <w:tcPr>
            <w:tcW w:w="1753" w:type="dxa"/>
            <w:shd w:val="clear" w:color="000000" w:fill="DBE4ED"/>
            <w:noWrap/>
            <w:vAlign w:val="center"/>
            <w:hideMark/>
          </w:tcPr>
          <w:p w14:paraId="0878D691" w14:textId="77777777" w:rsidR="0098309B" w:rsidRPr="003506E5" w:rsidRDefault="0098309B" w:rsidP="00351CC2">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251</w:t>
            </w:r>
          </w:p>
        </w:tc>
        <w:tc>
          <w:tcPr>
            <w:tcW w:w="1459" w:type="dxa"/>
            <w:shd w:val="clear" w:color="000000" w:fill="DBE4ED"/>
            <w:vAlign w:val="center"/>
            <w:hideMark/>
          </w:tcPr>
          <w:p w14:paraId="1ECC1EF7" w14:textId="77777777" w:rsidR="0098309B" w:rsidRPr="003506E5" w:rsidRDefault="0098309B" w:rsidP="00351CC2">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0.7</w:t>
            </w:r>
            <w:r>
              <w:rPr>
                <w:rFonts w:eastAsia="Times New Roman"/>
                <w:color w:val="000000"/>
                <w:sz w:val="20"/>
                <w:szCs w:val="20"/>
                <w:lang w:eastAsia="en-US"/>
              </w:rPr>
              <w:t>0</w:t>
            </w:r>
          </w:p>
        </w:tc>
        <w:tc>
          <w:tcPr>
            <w:tcW w:w="1183" w:type="dxa"/>
            <w:vMerge/>
            <w:vAlign w:val="center"/>
            <w:hideMark/>
          </w:tcPr>
          <w:p w14:paraId="17CCBC9B" w14:textId="77777777" w:rsidR="0098309B" w:rsidRPr="003506E5" w:rsidRDefault="0098309B" w:rsidP="00351CC2">
            <w:pPr>
              <w:spacing w:after="0" w:line="240" w:lineRule="auto"/>
              <w:rPr>
                <w:rFonts w:eastAsia="Times New Roman"/>
                <w:color w:val="000000"/>
                <w:sz w:val="20"/>
                <w:szCs w:val="20"/>
                <w:lang w:eastAsia="en-US"/>
              </w:rPr>
            </w:pPr>
          </w:p>
        </w:tc>
      </w:tr>
      <w:tr w:rsidR="0098309B" w:rsidRPr="003506E5" w14:paraId="6B20C1CE" w14:textId="77777777" w:rsidTr="00AB11A0">
        <w:trPr>
          <w:trHeight w:val="360"/>
        </w:trPr>
        <w:tc>
          <w:tcPr>
            <w:tcW w:w="1963" w:type="dxa"/>
            <w:shd w:val="clear" w:color="000000" w:fill="DBE4ED"/>
            <w:vAlign w:val="center"/>
            <w:hideMark/>
          </w:tcPr>
          <w:p w14:paraId="66566CAC" w14:textId="77777777" w:rsidR="0098309B" w:rsidRPr="003506E5" w:rsidRDefault="0098309B" w:rsidP="00351CC2">
            <w:pPr>
              <w:spacing w:after="0" w:line="240" w:lineRule="auto"/>
              <w:rPr>
                <w:rFonts w:eastAsia="Times New Roman"/>
                <w:b/>
                <w:bCs/>
                <w:color w:val="0B1F51"/>
                <w:sz w:val="20"/>
                <w:szCs w:val="20"/>
                <w:lang w:eastAsia="en-US"/>
              </w:rPr>
            </w:pPr>
            <w:r w:rsidRPr="003506E5">
              <w:rPr>
                <w:rFonts w:eastAsia="Times New Roman"/>
                <w:b/>
                <w:bCs/>
                <w:color w:val="0B1F51"/>
                <w:sz w:val="20"/>
                <w:szCs w:val="20"/>
                <w:lang w:eastAsia="en-US"/>
              </w:rPr>
              <w:t>Quarter 3, 2018</w:t>
            </w:r>
          </w:p>
        </w:tc>
        <w:tc>
          <w:tcPr>
            <w:tcW w:w="1428" w:type="dxa"/>
            <w:shd w:val="clear" w:color="000000" w:fill="DBE4ED"/>
            <w:noWrap/>
            <w:vAlign w:val="center"/>
            <w:hideMark/>
          </w:tcPr>
          <w:p w14:paraId="1C93FA99" w14:textId="77777777" w:rsidR="0098309B" w:rsidRPr="003506E5" w:rsidRDefault="0098309B" w:rsidP="00351CC2">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5340</w:t>
            </w:r>
          </w:p>
        </w:tc>
        <w:tc>
          <w:tcPr>
            <w:tcW w:w="1714" w:type="dxa"/>
            <w:shd w:val="clear" w:color="000000" w:fill="DBE4ED"/>
            <w:noWrap/>
            <w:vAlign w:val="center"/>
            <w:hideMark/>
          </w:tcPr>
          <w:p w14:paraId="74017993" w14:textId="77777777" w:rsidR="0098309B" w:rsidRPr="003506E5" w:rsidRDefault="0098309B" w:rsidP="00351CC2">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35671</w:t>
            </w:r>
          </w:p>
        </w:tc>
        <w:tc>
          <w:tcPr>
            <w:tcW w:w="1753" w:type="dxa"/>
            <w:shd w:val="clear" w:color="000000" w:fill="DBE4ED"/>
            <w:noWrap/>
            <w:vAlign w:val="center"/>
            <w:hideMark/>
          </w:tcPr>
          <w:p w14:paraId="77A1ECDE" w14:textId="77777777" w:rsidR="0098309B" w:rsidRPr="003506E5" w:rsidRDefault="0098309B" w:rsidP="00351CC2">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243</w:t>
            </w:r>
          </w:p>
        </w:tc>
        <w:tc>
          <w:tcPr>
            <w:tcW w:w="1459" w:type="dxa"/>
            <w:shd w:val="clear" w:color="000000" w:fill="DBE4ED"/>
            <w:vAlign w:val="center"/>
            <w:hideMark/>
          </w:tcPr>
          <w:p w14:paraId="1A08F337" w14:textId="77777777" w:rsidR="0098309B" w:rsidRPr="003506E5" w:rsidRDefault="0098309B" w:rsidP="00351CC2">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0.68</w:t>
            </w:r>
          </w:p>
        </w:tc>
        <w:tc>
          <w:tcPr>
            <w:tcW w:w="1183" w:type="dxa"/>
            <w:vMerge/>
            <w:vAlign w:val="center"/>
            <w:hideMark/>
          </w:tcPr>
          <w:p w14:paraId="6467547A" w14:textId="77777777" w:rsidR="0098309B" w:rsidRPr="003506E5" w:rsidRDefault="0098309B" w:rsidP="00351CC2">
            <w:pPr>
              <w:spacing w:after="0" w:line="240" w:lineRule="auto"/>
              <w:rPr>
                <w:rFonts w:eastAsia="Times New Roman"/>
                <w:color w:val="000000"/>
                <w:sz w:val="20"/>
                <w:szCs w:val="20"/>
                <w:lang w:eastAsia="en-US"/>
              </w:rPr>
            </w:pPr>
          </w:p>
        </w:tc>
      </w:tr>
      <w:tr w:rsidR="0098309B" w:rsidRPr="003506E5" w14:paraId="5662F94D" w14:textId="77777777" w:rsidTr="00AB11A0">
        <w:trPr>
          <w:trHeight w:val="360"/>
        </w:trPr>
        <w:tc>
          <w:tcPr>
            <w:tcW w:w="1963" w:type="dxa"/>
            <w:shd w:val="clear" w:color="000000" w:fill="DBE4ED"/>
            <w:vAlign w:val="center"/>
            <w:hideMark/>
          </w:tcPr>
          <w:p w14:paraId="62B7F4D8" w14:textId="77777777" w:rsidR="0098309B" w:rsidRPr="003506E5" w:rsidRDefault="0098309B" w:rsidP="00351CC2">
            <w:pPr>
              <w:spacing w:after="0" w:line="240" w:lineRule="auto"/>
              <w:rPr>
                <w:rFonts w:eastAsia="Times New Roman"/>
                <w:b/>
                <w:bCs/>
                <w:color w:val="0B1F51"/>
                <w:sz w:val="20"/>
                <w:szCs w:val="20"/>
                <w:lang w:eastAsia="en-US"/>
              </w:rPr>
            </w:pPr>
            <w:r w:rsidRPr="003506E5">
              <w:rPr>
                <w:rFonts w:eastAsia="Times New Roman"/>
                <w:b/>
                <w:bCs/>
                <w:color w:val="0B1F51"/>
                <w:sz w:val="20"/>
                <w:szCs w:val="20"/>
                <w:lang w:eastAsia="en-US"/>
              </w:rPr>
              <w:t>Quarter 4, 2018</w:t>
            </w:r>
          </w:p>
        </w:tc>
        <w:tc>
          <w:tcPr>
            <w:tcW w:w="1428" w:type="dxa"/>
            <w:shd w:val="clear" w:color="000000" w:fill="DBE4ED"/>
            <w:noWrap/>
            <w:vAlign w:val="center"/>
            <w:hideMark/>
          </w:tcPr>
          <w:p w14:paraId="4638E9CB" w14:textId="77777777" w:rsidR="0098309B" w:rsidRPr="003506E5" w:rsidRDefault="0098309B" w:rsidP="00351CC2">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5340</w:t>
            </w:r>
          </w:p>
        </w:tc>
        <w:tc>
          <w:tcPr>
            <w:tcW w:w="1714" w:type="dxa"/>
            <w:shd w:val="clear" w:color="000000" w:fill="DBE4ED"/>
            <w:noWrap/>
            <w:vAlign w:val="center"/>
            <w:hideMark/>
          </w:tcPr>
          <w:p w14:paraId="106DFD18" w14:textId="77777777" w:rsidR="0098309B" w:rsidRPr="003506E5" w:rsidRDefault="0098309B" w:rsidP="00351CC2">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35671</w:t>
            </w:r>
          </w:p>
        </w:tc>
        <w:tc>
          <w:tcPr>
            <w:tcW w:w="1753" w:type="dxa"/>
            <w:shd w:val="clear" w:color="000000" w:fill="DBE4ED"/>
            <w:noWrap/>
            <w:vAlign w:val="center"/>
            <w:hideMark/>
          </w:tcPr>
          <w:p w14:paraId="66934E38" w14:textId="77777777" w:rsidR="0098309B" w:rsidRPr="003506E5" w:rsidRDefault="0098309B" w:rsidP="00351CC2">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147</w:t>
            </w:r>
          </w:p>
        </w:tc>
        <w:tc>
          <w:tcPr>
            <w:tcW w:w="1459" w:type="dxa"/>
            <w:shd w:val="clear" w:color="000000" w:fill="DBE4ED"/>
            <w:vAlign w:val="center"/>
            <w:hideMark/>
          </w:tcPr>
          <w:p w14:paraId="3C2CA5A4" w14:textId="77777777" w:rsidR="0098309B" w:rsidRPr="003506E5" w:rsidRDefault="0098309B" w:rsidP="00351CC2">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0.41</w:t>
            </w:r>
          </w:p>
        </w:tc>
        <w:tc>
          <w:tcPr>
            <w:tcW w:w="1183" w:type="dxa"/>
            <w:vMerge/>
            <w:vAlign w:val="center"/>
            <w:hideMark/>
          </w:tcPr>
          <w:p w14:paraId="17DB629E" w14:textId="77777777" w:rsidR="0098309B" w:rsidRPr="003506E5" w:rsidRDefault="0098309B" w:rsidP="00351CC2">
            <w:pPr>
              <w:spacing w:after="0" w:line="240" w:lineRule="auto"/>
              <w:rPr>
                <w:rFonts w:eastAsia="Times New Roman"/>
                <w:color w:val="000000"/>
                <w:sz w:val="20"/>
                <w:szCs w:val="20"/>
                <w:lang w:eastAsia="en-US"/>
              </w:rPr>
            </w:pPr>
          </w:p>
        </w:tc>
      </w:tr>
      <w:tr w:rsidR="0098309B" w:rsidRPr="003506E5" w14:paraId="2330B266" w14:textId="77777777" w:rsidTr="00AB11A0">
        <w:trPr>
          <w:trHeight w:val="360"/>
        </w:trPr>
        <w:tc>
          <w:tcPr>
            <w:tcW w:w="1963" w:type="dxa"/>
            <w:shd w:val="clear" w:color="000000" w:fill="DBE4ED"/>
            <w:vAlign w:val="center"/>
            <w:hideMark/>
          </w:tcPr>
          <w:p w14:paraId="2E02D7C4" w14:textId="77777777" w:rsidR="0098309B" w:rsidRPr="003506E5" w:rsidRDefault="0098309B" w:rsidP="00351CC2">
            <w:pPr>
              <w:spacing w:after="0" w:line="240" w:lineRule="auto"/>
              <w:rPr>
                <w:rFonts w:eastAsia="Times New Roman"/>
                <w:b/>
                <w:bCs/>
                <w:color w:val="0B1F51"/>
                <w:sz w:val="20"/>
                <w:szCs w:val="20"/>
                <w:lang w:eastAsia="en-US"/>
              </w:rPr>
            </w:pPr>
            <w:r w:rsidRPr="003506E5">
              <w:rPr>
                <w:rFonts w:eastAsia="Times New Roman"/>
                <w:b/>
                <w:bCs/>
                <w:color w:val="0B1F51"/>
                <w:sz w:val="20"/>
                <w:szCs w:val="20"/>
                <w:lang w:eastAsia="en-US"/>
              </w:rPr>
              <w:t>Quarter 1, 2019</w:t>
            </w:r>
          </w:p>
        </w:tc>
        <w:tc>
          <w:tcPr>
            <w:tcW w:w="1428" w:type="dxa"/>
            <w:shd w:val="clear" w:color="000000" w:fill="DBE4ED"/>
            <w:noWrap/>
            <w:vAlign w:val="center"/>
            <w:hideMark/>
          </w:tcPr>
          <w:p w14:paraId="3E1C370C" w14:textId="77777777" w:rsidR="0098309B" w:rsidRPr="003506E5" w:rsidRDefault="0098309B" w:rsidP="00351CC2">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5340</w:t>
            </w:r>
          </w:p>
        </w:tc>
        <w:tc>
          <w:tcPr>
            <w:tcW w:w="1714" w:type="dxa"/>
            <w:shd w:val="clear" w:color="000000" w:fill="DBE4ED"/>
            <w:noWrap/>
            <w:vAlign w:val="center"/>
            <w:hideMark/>
          </w:tcPr>
          <w:p w14:paraId="5B788DB7" w14:textId="77777777" w:rsidR="0098309B" w:rsidRPr="003506E5" w:rsidRDefault="0098309B" w:rsidP="00351CC2">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35671</w:t>
            </w:r>
          </w:p>
        </w:tc>
        <w:tc>
          <w:tcPr>
            <w:tcW w:w="1753" w:type="dxa"/>
            <w:shd w:val="clear" w:color="000000" w:fill="DBE4ED"/>
            <w:noWrap/>
            <w:vAlign w:val="center"/>
            <w:hideMark/>
          </w:tcPr>
          <w:p w14:paraId="3AE194D3" w14:textId="77777777" w:rsidR="0098309B" w:rsidRPr="003506E5" w:rsidRDefault="0098309B" w:rsidP="00351CC2">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178</w:t>
            </w:r>
          </w:p>
        </w:tc>
        <w:tc>
          <w:tcPr>
            <w:tcW w:w="1459" w:type="dxa"/>
            <w:shd w:val="clear" w:color="000000" w:fill="DBE4ED"/>
            <w:vAlign w:val="center"/>
            <w:hideMark/>
          </w:tcPr>
          <w:p w14:paraId="7B173957" w14:textId="77777777" w:rsidR="0098309B" w:rsidRPr="003506E5" w:rsidRDefault="0098309B" w:rsidP="00351CC2">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0.5</w:t>
            </w:r>
            <w:r>
              <w:rPr>
                <w:rFonts w:eastAsia="Times New Roman"/>
                <w:color w:val="000000"/>
                <w:sz w:val="20"/>
                <w:szCs w:val="20"/>
                <w:lang w:eastAsia="en-US"/>
              </w:rPr>
              <w:t>0</w:t>
            </w:r>
          </w:p>
        </w:tc>
        <w:tc>
          <w:tcPr>
            <w:tcW w:w="1183" w:type="dxa"/>
            <w:vMerge w:val="restart"/>
            <w:shd w:val="clear" w:color="000000" w:fill="DBE4ED"/>
            <w:vAlign w:val="center"/>
            <w:hideMark/>
          </w:tcPr>
          <w:p w14:paraId="44FFC4E1" w14:textId="77777777" w:rsidR="0098309B" w:rsidRPr="003506E5" w:rsidRDefault="0098309B" w:rsidP="00351CC2">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1.86</w:t>
            </w:r>
          </w:p>
        </w:tc>
      </w:tr>
      <w:tr w:rsidR="0098309B" w:rsidRPr="003506E5" w14:paraId="7AD83E1C" w14:textId="77777777" w:rsidTr="00AB11A0">
        <w:trPr>
          <w:trHeight w:val="360"/>
        </w:trPr>
        <w:tc>
          <w:tcPr>
            <w:tcW w:w="1963" w:type="dxa"/>
            <w:shd w:val="clear" w:color="000000" w:fill="DBE4ED"/>
            <w:vAlign w:val="center"/>
            <w:hideMark/>
          </w:tcPr>
          <w:p w14:paraId="1E38B18C" w14:textId="77777777" w:rsidR="0098309B" w:rsidRPr="003506E5" w:rsidRDefault="0098309B" w:rsidP="00351CC2">
            <w:pPr>
              <w:spacing w:after="0" w:line="240" w:lineRule="auto"/>
              <w:rPr>
                <w:rFonts w:eastAsia="Times New Roman"/>
                <w:b/>
                <w:bCs/>
                <w:color w:val="0B1F51"/>
                <w:sz w:val="20"/>
                <w:szCs w:val="20"/>
                <w:lang w:eastAsia="en-US"/>
              </w:rPr>
            </w:pPr>
            <w:r w:rsidRPr="003506E5">
              <w:rPr>
                <w:rFonts w:eastAsia="Times New Roman"/>
                <w:b/>
                <w:bCs/>
                <w:color w:val="0B1F51"/>
                <w:sz w:val="20"/>
                <w:szCs w:val="20"/>
                <w:lang w:eastAsia="en-US"/>
              </w:rPr>
              <w:t>Quarter 2, 2019</w:t>
            </w:r>
          </w:p>
        </w:tc>
        <w:tc>
          <w:tcPr>
            <w:tcW w:w="1428" w:type="dxa"/>
            <w:shd w:val="clear" w:color="000000" w:fill="DBE4ED"/>
            <w:noWrap/>
            <w:vAlign w:val="center"/>
            <w:hideMark/>
          </w:tcPr>
          <w:p w14:paraId="00000E12" w14:textId="77777777" w:rsidR="0098309B" w:rsidRPr="003506E5" w:rsidRDefault="0098309B" w:rsidP="00351CC2">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5340</w:t>
            </w:r>
          </w:p>
        </w:tc>
        <w:tc>
          <w:tcPr>
            <w:tcW w:w="1714" w:type="dxa"/>
            <w:shd w:val="clear" w:color="000000" w:fill="DBE4ED"/>
            <w:noWrap/>
            <w:vAlign w:val="center"/>
            <w:hideMark/>
          </w:tcPr>
          <w:p w14:paraId="1D288396" w14:textId="77777777" w:rsidR="0098309B" w:rsidRPr="003506E5" w:rsidRDefault="0098309B" w:rsidP="00351CC2">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35671</w:t>
            </w:r>
          </w:p>
        </w:tc>
        <w:tc>
          <w:tcPr>
            <w:tcW w:w="1753" w:type="dxa"/>
            <w:shd w:val="clear" w:color="000000" w:fill="DBE4ED"/>
            <w:noWrap/>
            <w:vAlign w:val="center"/>
            <w:hideMark/>
          </w:tcPr>
          <w:p w14:paraId="364CCA11" w14:textId="77777777" w:rsidR="0098309B" w:rsidRPr="003506E5" w:rsidRDefault="0098309B" w:rsidP="00351CC2">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216</w:t>
            </w:r>
          </w:p>
        </w:tc>
        <w:tc>
          <w:tcPr>
            <w:tcW w:w="1459" w:type="dxa"/>
            <w:shd w:val="clear" w:color="000000" w:fill="DBE4ED"/>
            <w:vAlign w:val="center"/>
            <w:hideMark/>
          </w:tcPr>
          <w:p w14:paraId="3AF0B4C2" w14:textId="77777777" w:rsidR="0098309B" w:rsidRPr="003506E5" w:rsidRDefault="0098309B" w:rsidP="00351CC2">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0.61</w:t>
            </w:r>
          </w:p>
        </w:tc>
        <w:tc>
          <w:tcPr>
            <w:tcW w:w="1183" w:type="dxa"/>
            <w:vMerge/>
            <w:shd w:val="clear" w:color="000000" w:fill="DBE4ED"/>
            <w:vAlign w:val="center"/>
            <w:hideMark/>
          </w:tcPr>
          <w:p w14:paraId="3F53545D" w14:textId="77777777" w:rsidR="0098309B" w:rsidRPr="003506E5" w:rsidRDefault="0098309B" w:rsidP="00351CC2">
            <w:pPr>
              <w:spacing w:after="0" w:line="240" w:lineRule="auto"/>
              <w:jc w:val="center"/>
              <w:rPr>
                <w:rFonts w:eastAsia="Times New Roman"/>
                <w:color w:val="000000"/>
                <w:sz w:val="20"/>
                <w:szCs w:val="20"/>
                <w:lang w:eastAsia="en-US"/>
              </w:rPr>
            </w:pPr>
          </w:p>
        </w:tc>
      </w:tr>
      <w:tr w:rsidR="0098309B" w:rsidRPr="003506E5" w14:paraId="345C5B5B" w14:textId="77777777" w:rsidTr="00AB11A0">
        <w:trPr>
          <w:trHeight w:val="360"/>
        </w:trPr>
        <w:tc>
          <w:tcPr>
            <w:tcW w:w="1963" w:type="dxa"/>
            <w:shd w:val="clear" w:color="000000" w:fill="DBE4ED"/>
            <w:vAlign w:val="center"/>
            <w:hideMark/>
          </w:tcPr>
          <w:p w14:paraId="54D3BF91" w14:textId="77777777" w:rsidR="0098309B" w:rsidRPr="003506E5" w:rsidRDefault="0098309B" w:rsidP="00351CC2">
            <w:pPr>
              <w:spacing w:after="0" w:line="240" w:lineRule="auto"/>
              <w:rPr>
                <w:rFonts w:eastAsia="Times New Roman"/>
                <w:b/>
                <w:bCs/>
                <w:color w:val="0B1F51"/>
                <w:sz w:val="20"/>
                <w:szCs w:val="20"/>
                <w:lang w:eastAsia="en-US"/>
              </w:rPr>
            </w:pPr>
            <w:r w:rsidRPr="003506E5">
              <w:rPr>
                <w:rFonts w:eastAsia="Times New Roman"/>
                <w:b/>
                <w:bCs/>
                <w:color w:val="0B1F51"/>
                <w:sz w:val="20"/>
                <w:szCs w:val="20"/>
                <w:lang w:eastAsia="en-US"/>
              </w:rPr>
              <w:t>Quarter 3, 2019</w:t>
            </w:r>
          </w:p>
        </w:tc>
        <w:tc>
          <w:tcPr>
            <w:tcW w:w="1428" w:type="dxa"/>
            <w:shd w:val="clear" w:color="000000" w:fill="DBE4ED"/>
            <w:noWrap/>
            <w:vAlign w:val="center"/>
            <w:hideMark/>
          </w:tcPr>
          <w:p w14:paraId="5A690035" w14:textId="77777777" w:rsidR="0098309B" w:rsidRPr="003506E5" w:rsidRDefault="0098309B" w:rsidP="00351CC2">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5340</w:t>
            </w:r>
          </w:p>
        </w:tc>
        <w:tc>
          <w:tcPr>
            <w:tcW w:w="1714" w:type="dxa"/>
            <w:shd w:val="clear" w:color="000000" w:fill="DBE4ED"/>
            <w:noWrap/>
            <w:vAlign w:val="center"/>
            <w:hideMark/>
          </w:tcPr>
          <w:p w14:paraId="0939C5A0" w14:textId="77777777" w:rsidR="0098309B" w:rsidRPr="003506E5" w:rsidRDefault="0098309B" w:rsidP="00351CC2">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35671</w:t>
            </w:r>
          </w:p>
        </w:tc>
        <w:tc>
          <w:tcPr>
            <w:tcW w:w="1753" w:type="dxa"/>
            <w:shd w:val="clear" w:color="000000" w:fill="DBE4ED"/>
            <w:noWrap/>
            <w:vAlign w:val="center"/>
            <w:hideMark/>
          </w:tcPr>
          <w:p w14:paraId="085F52D6" w14:textId="77777777" w:rsidR="0098309B" w:rsidRPr="003506E5" w:rsidRDefault="0098309B" w:rsidP="00351CC2">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147</w:t>
            </w:r>
          </w:p>
        </w:tc>
        <w:tc>
          <w:tcPr>
            <w:tcW w:w="1459" w:type="dxa"/>
            <w:shd w:val="clear" w:color="000000" w:fill="DBE4ED"/>
            <w:vAlign w:val="center"/>
            <w:hideMark/>
          </w:tcPr>
          <w:p w14:paraId="4BF988B3" w14:textId="77777777" w:rsidR="0098309B" w:rsidRPr="003506E5" w:rsidRDefault="0098309B" w:rsidP="00351CC2">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0.41</w:t>
            </w:r>
          </w:p>
        </w:tc>
        <w:tc>
          <w:tcPr>
            <w:tcW w:w="1183" w:type="dxa"/>
            <w:vMerge/>
            <w:shd w:val="clear" w:color="000000" w:fill="DBE4ED"/>
            <w:vAlign w:val="center"/>
            <w:hideMark/>
          </w:tcPr>
          <w:p w14:paraId="3EFE1444" w14:textId="77777777" w:rsidR="0098309B" w:rsidRPr="003506E5" w:rsidRDefault="0098309B" w:rsidP="00351CC2">
            <w:pPr>
              <w:spacing w:after="0" w:line="240" w:lineRule="auto"/>
              <w:jc w:val="center"/>
              <w:rPr>
                <w:rFonts w:eastAsia="Times New Roman"/>
                <w:color w:val="000000"/>
                <w:sz w:val="20"/>
                <w:szCs w:val="20"/>
                <w:lang w:eastAsia="en-US"/>
              </w:rPr>
            </w:pPr>
          </w:p>
        </w:tc>
      </w:tr>
      <w:tr w:rsidR="0098309B" w:rsidRPr="003506E5" w14:paraId="2A44D971" w14:textId="77777777" w:rsidTr="00AB11A0">
        <w:trPr>
          <w:trHeight w:val="360"/>
        </w:trPr>
        <w:tc>
          <w:tcPr>
            <w:tcW w:w="1963" w:type="dxa"/>
            <w:shd w:val="clear" w:color="000000" w:fill="DBE4ED"/>
            <w:vAlign w:val="center"/>
            <w:hideMark/>
          </w:tcPr>
          <w:p w14:paraId="5629860D" w14:textId="77777777" w:rsidR="0098309B" w:rsidRPr="003506E5" w:rsidRDefault="0098309B" w:rsidP="00351CC2">
            <w:pPr>
              <w:spacing w:after="0" w:line="240" w:lineRule="auto"/>
              <w:rPr>
                <w:rFonts w:eastAsia="Times New Roman"/>
                <w:b/>
                <w:bCs/>
                <w:color w:val="0B1F51"/>
                <w:sz w:val="20"/>
                <w:szCs w:val="20"/>
                <w:lang w:eastAsia="en-US"/>
              </w:rPr>
            </w:pPr>
            <w:r w:rsidRPr="003506E5">
              <w:rPr>
                <w:rFonts w:eastAsia="Times New Roman"/>
                <w:b/>
                <w:bCs/>
                <w:color w:val="0B1F51"/>
                <w:sz w:val="20"/>
                <w:szCs w:val="20"/>
                <w:lang w:eastAsia="en-US"/>
              </w:rPr>
              <w:t>Quarter 4, 2019</w:t>
            </w:r>
          </w:p>
        </w:tc>
        <w:tc>
          <w:tcPr>
            <w:tcW w:w="1428" w:type="dxa"/>
            <w:shd w:val="clear" w:color="000000" w:fill="DBE4ED"/>
            <w:noWrap/>
            <w:vAlign w:val="center"/>
            <w:hideMark/>
          </w:tcPr>
          <w:p w14:paraId="12089251" w14:textId="77777777" w:rsidR="0098309B" w:rsidRPr="003506E5" w:rsidRDefault="0098309B" w:rsidP="00351CC2">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5340</w:t>
            </w:r>
          </w:p>
        </w:tc>
        <w:tc>
          <w:tcPr>
            <w:tcW w:w="1714" w:type="dxa"/>
            <w:shd w:val="clear" w:color="000000" w:fill="DBE4ED"/>
            <w:noWrap/>
            <w:vAlign w:val="center"/>
            <w:hideMark/>
          </w:tcPr>
          <w:p w14:paraId="6DE1EEFC" w14:textId="77777777" w:rsidR="0098309B" w:rsidRPr="003506E5" w:rsidRDefault="0098309B" w:rsidP="00351CC2">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35671</w:t>
            </w:r>
          </w:p>
        </w:tc>
        <w:tc>
          <w:tcPr>
            <w:tcW w:w="1753" w:type="dxa"/>
            <w:shd w:val="clear" w:color="000000" w:fill="DBE4ED"/>
            <w:noWrap/>
            <w:vAlign w:val="center"/>
            <w:hideMark/>
          </w:tcPr>
          <w:p w14:paraId="0F9A3748" w14:textId="77777777" w:rsidR="0098309B" w:rsidRPr="003506E5" w:rsidRDefault="0098309B" w:rsidP="00351CC2">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122</w:t>
            </w:r>
          </w:p>
        </w:tc>
        <w:tc>
          <w:tcPr>
            <w:tcW w:w="1459" w:type="dxa"/>
            <w:shd w:val="clear" w:color="000000" w:fill="DBE4ED"/>
            <w:vAlign w:val="center"/>
            <w:hideMark/>
          </w:tcPr>
          <w:p w14:paraId="2A4770D7" w14:textId="77777777" w:rsidR="0098309B" w:rsidRPr="003506E5" w:rsidRDefault="0098309B" w:rsidP="00351CC2">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0.34</w:t>
            </w:r>
          </w:p>
        </w:tc>
        <w:tc>
          <w:tcPr>
            <w:tcW w:w="1183" w:type="dxa"/>
            <w:vMerge/>
            <w:shd w:val="clear" w:color="000000" w:fill="DBE4ED"/>
            <w:vAlign w:val="center"/>
            <w:hideMark/>
          </w:tcPr>
          <w:p w14:paraId="11C0BDFA" w14:textId="77777777" w:rsidR="0098309B" w:rsidRPr="003506E5" w:rsidRDefault="0098309B" w:rsidP="00351CC2">
            <w:pPr>
              <w:spacing w:after="0" w:line="240" w:lineRule="auto"/>
              <w:jc w:val="center"/>
              <w:rPr>
                <w:rFonts w:eastAsia="Times New Roman"/>
                <w:color w:val="000000"/>
                <w:sz w:val="20"/>
                <w:szCs w:val="20"/>
                <w:lang w:eastAsia="en-US"/>
              </w:rPr>
            </w:pPr>
          </w:p>
        </w:tc>
      </w:tr>
      <w:tr w:rsidR="0098309B" w:rsidRPr="003506E5" w14:paraId="6BCF5A55" w14:textId="77777777" w:rsidTr="00AB11A0">
        <w:trPr>
          <w:trHeight w:val="360"/>
        </w:trPr>
        <w:tc>
          <w:tcPr>
            <w:tcW w:w="1963" w:type="dxa"/>
            <w:shd w:val="clear" w:color="000000" w:fill="DBE4ED"/>
            <w:vAlign w:val="center"/>
            <w:hideMark/>
          </w:tcPr>
          <w:p w14:paraId="2E5691AE" w14:textId="77777777" w:rsidR="0098309B" w:rsidRPr="003506E5" w:rsidRDefault="0098309B" w:rsidP="00351CC2">
            <w:pPr>
              <w:spacing w:after="0" w:line="240" w:lineRule="auto"/>
              <w:rPr>
                <w:rFonts w:eastAsia="Times New Roman"/>
                <w:b/>
                <w:bCs/>
                <w:color w:val="0B1F51"/>
                <w:sz w:val="20"/>
                <w:szCs w:val="20"/>
                <w:lang w:eastAsia="en-US"/>
              </w:rPr>
            </w:pPr>
            <w:r w:rsidRPr="003506E5">
              <w:rPr>
                <w:rFonts w:eastAsia="Times New Roman"/>
                <w:b/>
                <w:bCs/>
                <w:color w:val="0B1F51"/>
                <w:sz w:val="20"/>
                <w:szCs w:val="20"/>
                <w:lang w:eastAsia="en-US"/>
              </w:rPr>
              <w:t>Quarter 1, 2020</w:t>
            </w:r>
          </w:p>
        </w:tc>
        <w:tc>
          <w:tcPr>
            <w:tcW w:w="1428" w:type="dxa"/>
            <w:shd w:val="clear" w:color="000000" w:fill="DBE4ED"/>
            <w:noWrap/>
            <w:vAlign w:val="center"/>
            <w:hideMark/>
          </w:tcPr>
          <w:p w14:paraId="4A1F7A94" w14:textId="77777777" w:rsidR="0098309B" w:rsidRPr="003506E5" w:rsidRDefault="0098309B" w:rsidP="00351CC2">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5340</w:t>
            </w:r>
          </w:p>
        </w:tc>
        <w:tc>
          <w:tcPr>
            <w:tcW w:w="1714" w:type="dxa"/>
            <w:shd w:val="clear" w:color="000000" w:fill="DBE4ED"/>
            <w:noWrap/>
            <w:vAlign w:val="center"/>
            <w:hideMark/>
          </w:tcPr>
          <w:p w14:paraId="34AE6CB6" w14:textId="77777777" w:rsidR="0098309B" w:rsidRPr="003506E5" w:rsidRDefault="0098309B" w:rsidP="00351CC2">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35671</w:t>
            </w:r>
          </w:p>
        </w:tc>
        <w:tc>
          <w:tcPr>
            <w:tcW w:w="1753" w:type="dxa"/>
            <w:shd w:val="clear" w:color="000000" w:fill="DBE4ED"/>
            <w:noWrap/>
            <w:vAlign w:val="center"/>
            <w:hideMark/>
          </w:tcPr>
          <w:p w14:paraId="228D6001" w14:textId="77777777" w:rsidR="0098309B" w:rsidRPr="003506E5" w:rsidRDefault="0098309B" w:rsidP="00351CC2">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115</w:t>
            </w:r>
          </w:p>
        </w:tc>
        <w:tc>
          <w:tcPr>
            <w:tcW w:w="1459" w:type="dxa"/>
            <w:shd w:val="clear" w:color="000000" w:fill="DBE4ED"/>
            <w:vAlign w:val="center"/>
            <w:hideMark/>
          </w:tcPr>
          <w:p w14:paraId="24A8D0B2" w14:textId="77777777" w:rsidR="0098309B" w:rsidRPr="003506E5" w:rsidRDefault="0098309B" w:rsidP="00351CC2">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0.32</w:t>
            </w:r>
          </w:p>
        </w:tc>
        <w:tc>
          <w:tcPr>
            <w:tcW w:w="1183" w:type="dxa"/>
            <w:vMerge w:val="restart"/>
            <w:shd w:val="clear" w:color="000000" w:fill="DBE4ED"/>
            <w:vAlign w:val="center"/>
            <w:hideMark/>
          </w:tcPr>
          <w:p w14:paraId="7B5AF754" w14:textId="2CD9C4DC" w:rsidR="0098309B" w:rsidRPr="003506E5" w:rsidRDefault="0098309B" w:rsidP="00AB11A0">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0.</w:t>
            </w:r>
            <w:r w:rsidR="00AB11A0">
              <w:rPr>
                <w:rFonts w:eastAsia="Times New Roman"/>
                <w:color w:val="000000"/>
                <w:sz w:val="20"/>
                <w:szCs w:val="20"/>
                <w:lang w:eastAsia="en-US"/>
              </w:rPr>
              <w:t>96</w:t>
            </w:r>
          </w:p>
        </w:tc>
      </w:tr>
      <w:tr w:rsidR="0098309B" w:rsidRPr="003506E5" w14:paraId="76C41ADE" w14:textId="77777777" w:rsidTr="00AB11A0">
        <w:trPr>
          <w:trHeight w:val="360"/>
        </w:trPr>
        <w:tc>
          <w:tcPr>
            <w:tcW w:w="1963" w:type="dxa"/>
            <w:shd w:val="clear" w:color="000000" w:fill="DBE4ED"/>
            <w:vAlign w:val="center"/>
            <w:hideMark/>
          </w:tcPr>
          <w:p w14:paraId="0CC962CC" w14:textId="77777777" w:rsidR="0098309B" w:rsidRPr="003506E5" w:rsidRDefault="0098309B" w:rsidP="00351CC2">
            <w:pPr>
              <w:spacing w:after="0" w:line="240" w:lineRule="auto"/>
              <w:rPr>
                <w:rFonts w:eastAsia="Times New Roman"/>
                <w:b/>
                <w:bCs/>
                <w:color w:val="0B1F51"/>
                <w:sz w:val="20"/>
                <w:szCs w:val="20"/>
                <w:lang w:eastAsia="en-US"/>
              </w:rPr>
            </w:pPr>
            <w:r w:rsidRPr="003506E5">
              <w:rPr>
                <w:rFonts w:eastAsia="Times New Roman"/>
                <w:b/>
                <w:bCs/>
                <w:color w:val="0B1F51"/>
                <w:sz w:val="20"/>
                <w:szCs w:val="20"/>
                <w:lang w:eastAsia="en-US"/>
              </w:rPr>
              <w:t>Quarter 2, 2020</w:t>
            </w:r>
          </w:p>
        </w:tc>
        <w:tc>
          <w:tcPr>
            <w:tcW w:w="1428" w:type="dxa"/>
            <w:shd w:val="clear" w:color="000000" w:fill="DBE4ED"/>
            <w:noWrap/>
            <w:vAlign w:val="center"/>
            <w:hideMark/>
          </w:tcPr>
          <w:p w14:paraId="24DFDF96" w14:textId="77777777" w:rsidR="0098309B" w:rsidRPr="003506E5" w:rsidRDefault="0098309B" w:rsidP="00351CC2">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5340</w:t>
            </w:r>
          </w:p>
        </w:tc>
        <w:tc>
          <w:tcPr>
            <w:tcW w:w="1714" w:type="dxa"/>
            <w:shd w:val="clear" w:color="000000" w:fill="DBE4ED"/>
            <w:noWrap/>
            <w:vAlign w:val="center"/>
            <w:hideMark/>
          </w:tcPr>
          <w:p w14:paraId="3B914F2A" w14:textId="77777777" w:rsidR="0098309B" w:rsidRPr="003506E5" w:rsidRDefault="0098309B" w:rsidP="00351CC2">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35671</w:t>
            </w:r>
          </w:p>
        </w:tc>
        <w:tc>
          <w:tcPr>
            <w:tcW w:w="1753" w:type="dxa"/>
            <w:shd w:val="clear" w:color="000000" w:fill="DBE4ED"/>
            <w:noWrap/>
            <w:vAlign w:val="center"/>
            <w:hideMark/>
          </w:tcPr>
          <w:p w14:paraId="5096D7A6" w14:textId="77777777" w:rsidR="0098309B" w:rsidRPr="003506E5" w:rsidRDefault="0098309B" w:rsidP="00351CC2">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37</w:t>
            </w:r>
          </w:p>
        </w:tc>
        <w:tc>
          <w:tcPr>
            <w:tcW w:w="1459" w:type="dxa"/>
            <w:shd w:val="clear" w:color="000000" w:fill="DBE4ED"/>
            <w:vAlign w:val="center"/>
            <w:hideMark/>
          </w:tcPr>
          <w:p w14:paraId="45DBC988" w14:textId="77777777" w:rsidR="0098309B" w:rsidRPr="003506E5" w:rsidRDefault="0098309B" w:rsidP="00351CC2">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0.1</w:t>
            </w:r>
            <w:r>
              <w:rPr>
                <w:rFonts w:eastAsia="Times New Roman"/>
                <w:color w:val="000000"/>
                <w:sz w:val="20"/>
                <w:szCs w:val="20"/>
                <w:lang w:eastAsia="en-US"/>
              </w:rPr>
              <w:t>0</w:t>
            </w:r>
          </w:p>
        </w:tc>
        <w:tc>
          <w:tcPr>
            <w:tcW w:w="1183" w:type="dxa"/>
            <w:vMerge/>
            <w:shd w:val="clear" w:color="000000" w:fill="DBE4ED"/>
            <w:vAlign w:val="center"/>
            <w:hideMark/>
          </w:tcPr>
          <w:p w14:paraId="1BCF3229" w14:textId="77777777" w:rsidR="0098309B" w:rsidRPr="003506E5" w:rsidRDefault="0098309B" w:rsidP="00351CC2">
            <w:pPr>
              <w:spacing w:after="0" w:line="240" w:lineRule="auto"/>
              <w:jc w:val="center"/>
              <w:rPr>
                <w:rFonts w:eastAsia="Times New Roman"/>
                <w:color w:val="000000"/>
                <w:sz w:val="20"/>
                <w:szCs w:val="20"/>
                <w:lang w:eastAsia="en-US"/>
              </w:rPr>
            </w:pPr>
          </w:p>
        </w:tc>
      </w:tr>
      <w:tr w:rsidR="0098309B" w:rsidRPr="003506E5" w14:paraId="24ABD509" w14:textId="77777777" w:rsidTr="00AB11A0">
        <w:trPr>
          <w:trHeight w:val="360"/>
        </w:trPr>
        <w:tc>
          <w:tcPr>
            <w:tcW w:w="1963" w:type="dxa"/>
            <w:shd w:val="clear" w:color="000000" w:fill="DBE4ED"/>
            <w:vAlign w:val="center"/>
            <w:hideMark/>
          </w:tcPr>
          <w:p w14:paraId="5C47BDE5" w14:textId="77777777" w:rsidR="0098309B" w:rsidRPr="003506E5" w:rsidRDefault="0098309B" w:rsidP="00351CC2">
            <w:pPr>
              <w:spacing w:after="0" w:line="240" w:lineRule="auto"/>
              <w:rPr>
                <w:rFonts w:eastAsia="Times New Roman"/>
                <w:b/>
                <w:bCs/>
                <w:color w:val="0B1F51"/>
                <w:sz w:val="20"/>
                <w:szCs w:val="20"/>
                <w:lang w:eastAsia="en-US"/>
              </w:rPr>
            </w:pPr>
            <w:r w:rsidRPr="003506E5">
              <w:rPr>
                <w:rFonts w:eastAsia="Times New Roman"/>
                <w:b/>
                <w:bCs/>
                <w:color w:val="0B1F51"/>
                <w:sz w:val="20"/>
                <w:szCs w:val="20"/>
                <w:lang w:eastAsia="en-US"/>
              </w:rPr>
              <w:t>Quarter 3, 2020</w:t>
            </w:r>
          </w:p>
        </w:tc>
        <w:tc>
          <w:tcPr>
            <w:tcW w:w="1428" w:type="dxa"/>
            <w:shd w:val="clear" w:color="000000" w:fill="DBE4ED"/>
            <w:noWrap/>
            <w:vAlign w:val="center"/>
            <w:hideMark/>
          </w:tcPr>
          <w:p w14:paraId="474CCEC9" w14:textId="77777777" w:rsidR="0098309B" w:rsidRPr="003506E5" w:rsidRDefault="0098309B" w:rsidP="00351CC2">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5340</w:t>
            </w:r>
          </w:p>
        </w:tc>
        <w:tc>
          <w:tcPr>
            <w:tcW w:w="1714" w:type="dxa"/>
            <w:shd w:val="clear" w:color="000000" w:fill="DBE4ED"/>
            <w:noWrap/>
            <w:vAlign w:val="center"/>
            <w:hideMark/>
          </w:tcPr>
          <w:p w14:paraId="68A5D1A1" w14:textId="77777777" w:rsidR="0098309B" w:rsidRPr="003506E5" w:rsidRDefault="0098309B" w:rsidP="00351CC2">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35671</w:t>
            </w:r>
          </w:p>
        </w:tc>
        <w:tc>
          <w:tcPr>
            <w:tcW w:w="1753" w:type="dxa"/>
            <w:shd w:val="clear" w:color="000000" w:fill="DBE4ED"/>
            <w:noWrap/>
            <w:vAlign w:val="center"/>
            <w:hideMark/>
          </w:tcPr>
          <w:p w14:paraId="3C67FACF" w14:textId="77777777" w:rsidR="0098309B" w:rsidRPr="003506E5" w:rsidRDefault="0098309B" w:rsidP="00351CC2">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100</w:t>
            </w:r>
          </w:p>
        </w:tc>
        <w:tc>
          <w:tcPr>
            <w:tcW w:w="1459" w:type="dxa"/>
            <w:shd w:val="clear" w:color="000000" w:fill="DBE4ED"/>
            <w:vAlign w:val="center"/>
            <w:hideMark/>
          </w:tcPr>
          <w:p w14:paraId="7C0DB18F" w14:textId="77777777" w:rsidR="0098309B" w:rsidRPr="003506E5" w:rsidRDefault="0098309B" w:rsidP="00351CC2">
            <w:pPr>
              <w:spacing w:after="0" w:line="240" w:lineRule="auto"/>
              <w:jc w:val="center"/>
              <w:rPr>
                <w:rFonts w:eastAsia="Times New Roman"/>
                <w:color w:val="000000"/>
                <w:sz w:val="20"/>
                <w:szCs w:val="20"/>
                <w:lang w:eastAsia="en-US"/>
              </w:rPr>
            </w:pPr>
            <w:r>
              <w:rPr>
                <w:rFonts w:eastAsia="Times New Roman"/>
                <w:color w:val="000000"/>
                <w:sz w:val="20"/>
                <w:szCs w:val="20"/>
                <w:lang w:eastAsia="en-US"/>
              </w:rPr>
              <w:t>0.28</w:t>
            </w:r>
          </w:p>
        </w:tc>
        <w:tc>
          <w:tcPr>
            <w:tcW w:w="1183" w:type="dxa"/>
            <w:vMerge/>
            <w:shd w:val="clear" w:color="000000" w:fill="DBE4ED"/>
            <w:vAlign w:val="center"/>
            <w:hideMark/>
          </w:tcPr>
          <w:p w14:paraId="3461BD67" w14:textId="77777777" w:rsidR="0098309B" w:rsidRPr="003506E5" w:rsidRDefault="0098309B" w:rsidP="00351CC2">
            <w:pPr>
              <w:spacing w:after="0" w:line="240" w:lineRule="auto"/>
              <w:jc w:val="center"/>
              <w:rPr>
                <w:rFonts w:eastAsia="Times New Roman"/>
                <w:color w:val="000000"/>
                <w:sz w:val="20"/>
                <w:szCs w:val="20"/>
                <w:lang w:eastAsia="en-US"/>
              </w:rPr>
            </w:pPr>
          </w:p>
        </w:tc>
      </w:tr>
      <w:tr w:rsidR="0098309B" w:rsidRPr="003506E5" w14:paraId="4B8CD22E" w14:textId="77777777" w:rsidTr="00AB11A0">
        <w:trPr>
          <w:trHeight w:val="360"/>
        </w:trPr>
        <w:tc>
          <w:tcPr>
            <w:tcW w:w="1963" w:type="dxa"/>
            <w:shd w:val="clear" w:color="000000" w:fill="DBE4ED"/>
            <w:vAlign w:val="center"/>
            <w:hideMark/>
          </w:tcPr>
          <w:p w14:paraId="6F189215" w14:textId="77777777" w:rsidR="0098309B" w:rsidRPr="003506E5" w:rsidRDefault="0098309B" w:rsidP="00351CC2">
            <w:pPr>
              <w:spacing w:after="0" w:line="240" w:lineRule="auto"/>
              <w:rPr>
                <w:rFonts w:eastAsia="Times New Roman"/>
                <w:b/>
                <w:bCs/>
                <w:color w:val="0B1F51"/>
                <w:sz w:val="20"/>
                <w:szCs w:val="20"/>
                <w:lang w:eastAsia="en-US"/>
              </w:rPr>
            </w:pPr>
            <w:r w:rsidRPr="003506E5">
              <w:rPr>
                <w:rFonts w:eastAsia="Times New Roman"/>
                <w:b/>
                <w:bCs/>
                <w:color w:val="0B1F51"/>
                <w:sz w:val="20"/>
                <w:szCs w:val="20"/>
                <w:lang w:eastAsia="en-US"/>
              </w:rPr>
              <w:t>Quarter 4, 2020</w:t>
            </w:r>
          </w:p>
        </w:tc>
        <w:tc>
          <w:tcPr>
            <w:tcW w:w="1428" w:type="dxa"/>
            <w:shd w:val="clear" w:color="000000" w:fill="DBE4ED"/>
            <w:noWrap/>
            <w:vAlign w:val="center"/>
            <w:hideMark/>
          </w:tcPr>
          <w:p w14:paraId="1CA92B57" w14:textId="77777777" w:rsidR="0098309B" w:rsidRPr="003506E5" w:rsidRDefault="0098309B" w:rsidP="00351CC2">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5340</w:t>
            </w:r>
          </w:p>
        </w:tc>
        <w:tc>
          <w:tcPr>
            <w:tcW w:w="1714" w:type="dxa"/>
            <w:shd w:val="clear" w:color="000000" w:fill="DBE4ED"/>
            <w:noWrap/>
            <w:vAlign w:val="center"/>
            <w:hideMark/>
          </w:tcPr>
          <w:p w14:paraId="20F057E3" w14:textId="77777777" w:rsidR="0098309B" w:rsidRPr="003506E5" w:rsidRDefault="0098309B" w:rsidP="00351CC2">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35671</w:t>
            </w:r>
          </w:p>
        </w:tc>
        <w:tc>
          <w:tcPr>
            <w:tcW w:w="1753" w:type="dxa"/>
            <w:shd w:val="clear" w:color="000000" w:fill="DBE4ED"/>
            <w:noWrap/>
            <w:vAlign w:val="center"/>
            <w:hideMark/>
          </w:tcPr>
          <w:p w14:paraId="3F686A8B" w14:textId="77777777" w:rsidR="0098309B" w:rsidRPr="003506E5" w:rsidRDefault="0098309B" w:rsidP="00351CC2">
            <w:pPr>
              <w:spacing w:after="0" w:line="240" w:lineRule="auto"/>
              <w:jc w:val="center"/>
              <w:rPr>
                <w:rFonts w:eastAsia="Times New Roman"/>
                <w:color w:val="000000"/>
                <w:sz w:val="20"/>
                <w:szCs w:val="20"/>
                <w:lang w:eastAsia="en-US"/>
              </w:rPr>
            </w:pPr>
            <w:r w:rsidRPr="003506E5">
              <w:rPr>
                <w:rFonts w:eastAsia="Times New Roman"/>
                <w:color w:val="000000"/>
                <w:sz w:val="20"/>
                <w:szCs w:val="20"/>
                <w:lang w:eastAsia="en-US"/>
              </w:rPr>
              <w:t>89</w:t>
            </w:r>
          </w:p>
        </w:tc>
        <w:tc>
          <w:tcPr>
            <w:tcW w:w="1459" w:type="dxa"/>
            <w:shd w:val="clear" w:color="000000" w:fill="DBE4ED"/>
            <w:vAlign w:val="center"/>
            <w:hideMark/>
          </w:tcPr>
          <w:p w14:paraId="23CC307D" w14:textId="77777777" w:rsidR="0098309B" w:rsidRPr="003506E5" w:rsidRDefault="0098309B" w:rsidP="00351CC2">
            <w:pPr>
              <w:spacing w:after="0" w:line="240" w:lineRule="auto"/>
              <w:jc w:val="center"/>
              <w:rPr>
                <w:rFonts w:eastAsia="Times New Roman"/>
                <w:color w:val="000000"/>
                <w:sz w:val="20"/>
                <w:szCs w:val="20"/>
                <w:lang w:eastAsia="en-US"/>
              </w:rPr>
            </w:pPr>
            <w:r>
              <w:rPr>
                <w:rFonts w:eastAsia="Times New Roman"/>
                <w:color w:val="000000"/>
                <w:sz w:val="20"/>
                <w:szCs w:val="20"/>
                <w:lang w:eastAsia="en-US"/>
              </w:rPr>
              <w:t>0.25</w:t>
            </w:r>
          </w:p>
        </w:tc>
        <w:tc>
          <w:tcPr>
            <w:tcW w:w="1183" w:type="dxa"/>
            <w:vMerge/>
            <w:shd w:val="clear" w:color="000000" w:fill="DBE4ED"/>
            <w:vAlign w:val="center"/>
            <w:hideMark/>
          </w:tcPr>
          <w:p w14:paraId="6B6CE4A7" w14:textId="77777777" w:rsidR="0098309B" w:rsidRPr="003506E5" w:rsidRDefault="0098309B" w:rsidP="00351CC2">
            <w:pPr>
              <w:spacing w:after="0" w:line="240" w:lineRule="auto"/>
              <w:jc w:val="center"/>
              <w:rPr>
                <w:rFonts w:eastAsia="Times New Roman"/>
                <w:color w:val="000000"/>
                <w:sz w:val="20"/>
                <w:szCs w:val="20"/>
                <w:lang w:eastAsia="en-US"/>
              </w:rPr>
            </w:pPr>
          </w:p>
        </w:tc>
      </w:tr>
    </w:tbl>
    <w:p w14:paraId="1C59F3BD" w14:textId="77777777" w:rsidR="009E75E6" w:rsidRDefault="009E75E6" w:rsidP="005F5304">
      <w:pPr>
        <w:pStyle w:val="BodyText"/>
      </w:pPr>
    </w:p>
    <w:p w14:paraId="407225DB" w14:textId="77777777" w:rsidR="00271528" w:rsidRDefault="005F5304" w:rsidP="00271528">
      <w:pPr>
        <w:pStyle w:val="BodyText"/>
      </w:pPr>
      <w:r w:rsidRPr="003506E5">
        <w:t xml:space="preserve">The utilisation rate in eligible population was highest in 2018, since then it is dropping, AKDN planned to have awareness campaigns including medical camps in union councils in 2020 however due to COVID-19 epidemic this plan could not be </w:t>
      </w:r>
      <w:r w:rsidR="00266C1D" w:rsidRPr="003506E5">
        <w:t xml:space="preserve">executed and in 2020 utilisation trend significantly dropped down. </w:t>
      </w:r>
    </w:p>
    <w:p w14:paraId="79465AD2" w14:textId="425ECDDC" w:rsidR="005F5304" w:rsidRPr="003506E5" w:rsidRDefault="00266BC3" w:rsidP="00271528">
      <w:pPr>
        <w:pStyle w:val="BodyText"/>
      </w:pPr>
      <w:r>
        <w:t xml:space="preserve">It is for the time in project life that the annual utilisation rate for the eligible population dropped to </w:t>
      </w:r>
      <w:r w:rsidR="00271528">
        <w:t>around</w:t>
      </w:r>
      <w:r>
        <w:t xml:space="preserve"> one percent. </w:t>
      </w:r>
      <w:r w:rsidR="00271528">
        <w:t>The utilisation rate for wider enrolled population was 2.0% and over utilisation rate for entire insured population (eligible and wider) was 1.5%.</w:t>
      </w:r>
      <w:r w:rsidR="005F5304" w:rsidRPr="003506E5">
        <w:t xml:space="preserve">  </w:t>
      </w:r>
    </w:p>
    <w:p w14:paraId="0F16E2F2" w14:textId="77777777" w:rsidR="00AB11A0" w:rsidRDefault="00AB11A0">
      <w:pPr>
        <w:spacing w:after="0" w:line="240" w:lineRule="auto"/>
        <w:rPr>
          <w:rFonts w:eastAsia="Times New Roman" w:cs="Times New Roman"/>
          <w:b/>
          <w:bCs/>
          <w:color w:val="0B1F51"/>
          <w:kern w:val="32"/>
          <w:sz w:val="28"/>
          <w:szCs w:val="28"/>
        </w:rPr>
      </w:pPr>
      <w:bookmarkStart w:id="41" w:name="_Toc57215289"/>
      <w:r>
        <w:br w:type="page"/>
      </w:r>
    </w:p>
    <w:p w14:paraId="1B171224" w14:textId="116C9EDB" w:rsidR="005F5304" w:rsidRPr="003506E5" w:rsidRDefault="005F5304" w:rsidP="005F5304">
      <w:pPr>
        <w:pStyle w:val="Heading20"/>
      </w:pPr>
      <w:r w:rsidRPr="003506E5">
        <w:lastRenderedPageBreak/>
        <w:t>Utilisation of Services by eligible population by Union Councils</w:t>
      </w:r>
      <w:bookmarkEnd w:id="41"/>
    </w:p>
    <w:p w14:paraId="5F1FBFA0" w14:textId="1375C196" w:rsidR="005F5304" w:rsidRPr="003506E5" w:rsidRDefault="005F5304" w:rsidP="005F5304">
      <w:pPr>
        <w:pStyle w:val="Caption"/>
      </w:pPr>
      <w:bookmarkStart w:id="42" w:name="_Toc57215233"/>
      <w:r w:rsidRPr="003506E5">
        <w:t xml:space="preserve">Table </w:t>
      </w:r>
      <w:r w:rsidR="00B76041" w:rsidRPr="003506E5">
        <w:fldChar w:fldCharType="begin"/>
      </w:r>
      <w:r w:rsidRPr="003506E5">
        <w:instrText xml:space="preserve"> SEQ Table \* ARABIC </w:instrText>
      </w:r>
      <w:r w:rsidR="00B76041" w:rsidRPr="003506E5">
        <w:fldChar w:fldCharType="separate"/>
      </w:r>
      <w:r w:rsidR="00AE4FA0">
        <w:rPr>
          <w:noProof/>
        </w:rPr>
        <w:t>13</w:t>
      </w:r>
      <w:r w:rsidR="00B76041" w:rsidRPr="003506E5">
        <w:fldChar w:fldCharType="end"/>
      </w:r>
      <w:r w:rsidRPr="003506E5">
        <w:t>: Service Utilisation of Eligible Population by Union Council</w:t>
      </w:r>
      <w:bookmarkEnd w:id="42"/>
    </w:p>
    <w:tbl>
      <w:tblPr>
        <w:tblStyle w:val="OPMTable2019"/>
        <w:tblW w:w="5000" w:type="pct"/>
        <w:tblLook w:val="04A0" w:firstRow="1" w:lastRow="0" w:firstColumn="1" w:lastColumn="0" w:noHBand="0" w:noVBand="1"/>
      </w:tblPr>
      <w:tblGrid>
        <w:gridCol w:w="1351"/>
        <w:gridCol w:w="1082"/>
        <w:gridCol w:w="1174"/>
        <w:gridCol w:w="1020"/>
        <w:gridCol w:w="1174"/>
        <w:gridCol w:w="1020"/>
        <w:gridCol w:w="1174"/>
        <w:gridCol w:w="1019"/>
      </w:tblGrid>
      <w:tr w:rsidR="005F5304" w:rsidRPr="003506E5" w14:paraId="51368431" w14:textId="77777777" w:rsidTr="00465FB4">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750" w:type="pct"/>
            <w:vMerge w:val="restart"/>
            <w:noWrap/>
            <w:hideMark/>
          </w:tcPr>
          <w:p w14:paraId="60074114" w14:textId="77777777" w:rsidR="005F5304" w:rsidRPr="003506E5" w:rsidRDefault="005F5304" w:rsidP="00AD20D9">
            <w:pPr>
              <w:pStyle w:val="Tabletext"/>
            </w:pPr>
            <w:r w:rsidRPr="003506E5">
              <w:t>UC Name</w:t>
            </w:r>
          </w:p>
        </w:tc>
        <w:tc>
          <w:tcPr>
            <w:tcW w:w="600" w:type="pct"/>
            <w:vMerge w:val="restart"/>
            <w:hideMark/>
          </w:tcPr>
          <w:p w14:paraId="115881F2" w14:textId="77777777" w:rsidR="005F5304" w:rsidRPr="003506E5" w:rsidRDefault="005F5304" w:rsidP="00AD20D9">
            <w:pPr>
              <w:pStyle w:val="Tabletext"/>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3506E5">
              <w:rPr>
                <w:rFonts w:ascii="Arial Narrow" w:hAnsi="Arial Narrow"/>
              </w:rPr>
              <w:t>Eligible Population</w:t>
            </w:r>
          </w:p>
        </w:tc>
        <w:tc>
          <w:tcPr>
            <w:tcW w:w="1217" w:type="pct"/>
            <w:gridSpan w:val="2"/>
            <w:noWrap/>
          </w:tcPr>
          <w:p w14:paraId="0B7DE70D" w14:textId="77777777" w:rsidR="005F5304" w:rsidRPr="003506E5" w:rsidRDefault="005F5304" w:rsidP="00AD20D9">
            <w:pPr>
              <w:pStyle w:val="Tabletext"/>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3506E5">
              <w:rPr>
                <w:rFonts w:ascii="Arial Narrow" w:hAnsi="Arial Narrow"/>
              </w:rPr>
              <w:t>(Jan-Dec) 2018</w:t>
            </w:r>
          </w:p>
        </w:tc>
        <w:tc>
          <w:tcPr>
            <w:tcW w:w="1217" w:type="pct"/>
            <w:gridSpan w:val="2"/>
          </w:tcPr>
          <w:p w14:paraId="781591CB" w14:textId="77777777" w:rsidR="005F5304" w:rsidRPr="003506E5" w:rsidRDefault="005F5304" w:rsidP="00AD20D9">
            <w:pPr>
              <w:pStyle w:val="Tabletext"/>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3506E5">
              <w:rPr>
                <w:rFonts w:ascii="Arial Narrow" w:hAnsi="Arial Narrow"/>
              </w:rPr>
              <w:t>(Jan-Dec) 2019</w:t>
            </w:r>
          </w:p>
        </w:tc>
        <w:tc>
          <w:tcPr>
            <w:tcW w:w="1217" w:type="pct"/>
            <w:gridSpan w:val="2"/>
          </w:tcPr>
          <w:p w14:paraId="6E872229" w14:textId="1B61C9D7" w:rsidR="005F5304" w:rsidRPr="003506E5" w:rsidRDefault="005F5304" w:rsidP="00AD20D9">
            <w:pPr>
              <w:pStyle w:val="Tabletext"/>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3506E5">
              <w:rPr>
                <w:rFonts w:ascii="Arial Narrow" w:hAnsi="Arial Narrow"/>
              </w:rPr>
              <w:t>(Jan-</w:t>
            </w:r>
            <w:r w:rsidR="00930B1D" w:rsidRPr="003506E5">
              <w:rPr>
                <w:rFonts w:ascii="Arial Narrow" w:hAnsi="Arial Narrow"/>
              </w:rPr>
              <w:t xml:space="preserve">Dec </w:t>
            </w:r>
            <w:r w:rsidRPr="003506E5">
              <w:rPr>
                <w:rFonts w:ascii="Arial Narrow" w:hAnsi="Arial Narrow"/>
              </w:rPr>
              <w:t>) 2020</w:t>
            </w:r>
          </w:p>
        </w:tc>
      </w:tr>
      <w:tr w:rsidR="005F5304" w:rsidRPr="003506E5" w14:paraId="7229B4EA" w14:textId="77777777" w:rsidTr="00465FB4">
        <w:trPr>
          <w:trHeight w:val="632"/>
        </w:trPr>
        <w:tc>
          <w:tcPr>
            <w:cnfStyle w:val="001000000000" w:firstRow="0" w:lastRow="0" w:firstColumn="1" w:lastColumn="0" w:oddVBand="0" w:evenVBand="0" w:oddHBand="0" w:evenHBand="0" w:firstRowFirstColumn="0" w:firstRowLastColumn="0" w:lastRowFirstColumn="0" w:lastRowLastColumn="0"/>
            <w:tcW w:w="750" w:type="pct"/>
            <w:vMerge/>
            <w:hideMark/>
          </w:tcPr>
          <w:p w14:paraId="337A2B09" w14:textId="77777777" w:rsidR="005F5304" w:rsidRPr="003506E5" w:rsidRDefault="005F5304" w:rsidP="00AD20D9">
            <w:pPr>
              <w:pStyle w:val="Tabletext"/>
            </w:pPr>
          </w:p>
        </w:tc>
        <w:tc>
          <w:tcPr>
            <w:tcW w:w="600" w:type="pct"/>
            <w:vMerge/>
            <w:hideMark/>
          </w:tcPr>
          <w:p w14:paraId="70D1CCF0"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651" w:type="pct"/>
            <w:shd w:val="clear" w:color="auto" w:fill="0A1F50" w:themeFill="text2"/>
            <w:hideMark/>
          </w:tcPr>
          <w:p w14:paraId="3BAFF6C5"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r w:rsidRPr="003506E5">
              <w:rPr>
                <w:rFonts w:ascii="Arial Narrow" w:hAnsi="Arial Narrow"/>
                <w:b/>
                <w:bCs/>
              </w:rPr>
              <w:t>No.of Admissions</w:t>
            </w:r>
          </w:p>
        </w:tc>
        <w:tc>
          <w:tcPr>
            <w:tcW w:w="566" w:type="pct"/>
            <w:shd w:val="clear" w:color="auto" w:fill="0A1F50" w:themeFill="text2"/>
            <w:hideMark/>
          </w:tcPr>
          <w:p w14:paraId="689AA67A"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r w:rsidRPr="003506E5">
              <w:rPr>
                <w:rFonts w:ascii="Arial Narrow" w:hAnsi="Arial Narrow"/>
                <w:b/>
                <w:bCs/>
              </w:rPr>
              <w:t>Utilisation Rate</w:t>
            </w:r>
          </w:p>
        </w:tc>
        <w:tc>
          <w:tcPr>
            <w:tcW w:w="651" w:type="pct"/>
            <w:shd w:val="clear" w:color="auto" w:fill="0A1F50" w:themeFill="text2"/>
          </w:tcPr>
          <w:p w14:paraId="0FF17808"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r w:rsidRPr="003506E5">
              <w:rPr>
                <w:rFonts w:ascii="Arial Narrow" w:hAnsi="Arial Narrow"/>
                <w:b/>
                <w:bCs/>
              </w:rPr>
              <w:t>No.of Admissions</w:t>
            </w:r>
          </w:p>
        </w:tc>
        <w:tc>
          <w:tcPr>
            <w:tcW w:w="566" w:type="pct"/>
            <w:shd w:val="clear" w:color="auto" w:fill="0A1F50" w:themeFill="text2"/>
            <w:hideMark/>
          </w:tcPr>
          <w:p w14:paraId="3D9678FD"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r w:rsidRPr="003506E5">
              <w:rPr>
                <w:rFonts w:ascii="Arial Narrow" w:hAnsi="Arial Narrow"/>
                <w:b/>
                <w:bCs/>
              </w:rPr>
              <w:t>Utilisation Rate</w:t>
            </w:r>
          </w:p>
        </w:tc>
        <w:tc>
          <w:tcPr>
            <w:tcW w:w="651" w:type="pct"/>
            <w:shd w:val="clear" w:color="auto" w:fill="0A1F50" w:themeFill="text2"/>
          </w:tcPr>
          <w:p w14:paraId="50AC5096"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r w:rsidRPr="003506E5">
              <w:rPr>
                <w:rFonts w:ascii="Arial Narrow" w:hAnsi="Arial Narrow"/>
                <w:b/>
                <w:bCs/>
              </w:rPr>
              <w:t>No.of Admissions</w:t>
            </w:r>
          </w:p>
        </w:tc>
        <w:tc>
          <w:tcPr>
            <w:tcW w:w="566" w:type="pct"/>
            <w:shd w:val="clear" w:color="auto" w:fill="0A1F50" w:themeFill="text2"/>
          </w:tcPr>
          <w:p w14:paraId="7D9C59B0" w14:textId="5F551C69" w:rsidR="005F5304" w:rsidRPr="003506E5" w:rsidRDefault="005F5304" w:rsidP="00271528">
            <w:pPr>
              <w:pStyle w:val="Table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r w:rsidRPr="003506E5">
              <w:rPr>
                <w:rFonts w:ascii="Arial Narrow" w:hAnsi="Arial Narrow"/>
                <w:b/>
                <w:bCs/>
              </w:rPr>
              <w:t>Utilisation Rat</w:t>
            </w:r>
            <w:r w:rsidR="00271528">
              <w:rPr>
                <w:rFonts w:ascii="Arial Narrow" w:hAnsi="Arial Narrow"/>
                <w:b/>
                <w:bCs/>
              </w:rPr>
              <w:t>e</w:t>
            </w:r>
          </w:p>
        </w:tc>
      </w:tr>
      <w:tr w:rsidR="005F5304" w:rsidRPr="003506E5" w14:paraId="37116EC0" w14:textId="77777777" w:rsidTr="00465FB4">
        <w:trPr>
          <w:trHeight w:val="321"/>
        </w:trPr>
        <w:tc>
          <w:tcPr>
            <w:cnfStyle w:val="001000000000" w:firstRow="0" w:lastRow="0" w:firstColumn="1" w:lastColumn="0" w:oddVBand="0" w:evenVBand="0" w:oddHBand="0" w:evenHBand="0" w:firstRowFirstColumn="0" w:firstRowLastColumn="0" w:lastRowFirstColumn="0" w:lastRowLastColumn="0"/>
            <w:tcW w:w="750" w:type="pct"/>
            <w:noWrap/>
            <w:hideMark/>
          </w:tcPr>
          <w:p w14:paraId="450E5823" w14:textId="77777777" w:rsidR="005F5304" w:rsidRPr="00271528" w:rsidRDefault="005F5304" w:rsidP="00AD20D9">
            <w:pPr>
              <w:pStyle w:val="Tabletext"/>
              <w:rPr>
                <w:b w:val="0"/>
                <w:bCs/>
                <w:color w:val="000000"/>
              </w:rPr>
            </w:pPr>
            <w:r w:rsidRPr="00271528">
              <w:rPr>
                <w:b w:val="0"/>
                <w:bCs/>
                <w:color w:val="000000"/>
              </w:rPr>
              <w:t>Bagrote</w:t>
            </w:r>
          </w:p>
        </w:tc>
        <w:tc>
          <w:tcPr>
            <w:tcW w:w="600" w:type="pct"/>
            <w:hideMark/>
          </w:tcPr>
          <w:p w14:paraId="52581C8B"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1660</w:t>
            </w:r>
          </w:p>
        </w:tc>
        <w:tc>
          <w:tcPr>
            <w:tcW w:w="651" w:type="pct"/>
            <w:noWrap/>
            <w:hideMark/>
          </w:tcPr>
          <w:p w14:paraId="194BD491"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32</w:t>
            </w:r>
          </w:p>
        </w:tc>
        <w:tc>
          <w:tcPr>
            <w:tcW w:w="566" w:type="pct"/>
            <w:noWrap/>
            <w:hideMark/>
          </w:tcPr>
          <w:p w14:paraId="0D2690E0"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1.9%</w:t>
            </w:r>
          </w:p>
        </w:tc>
        <w:tc>
          <w:tcPr>
            <w:tcW w:w="651" w:type="pct"/>
            <w:noWrap/>
          </w:tcPr>
          <w:p w14:paraId="1B909ED2"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27</w:t>
            </w:r>
          </w:p>
        </w:tc>
        <w:tc>
          <w:tcPr>
            <w:tcW w:w="566" w:type="pct"/>
            <w:noWrap/>
            <w:hideMark/>
          </w:tcPr>
          <w:p w14:paraId="16298FAB"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1.6%</w:t>
            </w:r>
          </w:p>
        </w:tc>
        <w:tc>
          <w:tcPr>
            <w:tcW w:w="651" w:type="pct"/>
            <w:noWrap/>
          </w:tcPr>
          <w:p w14:paraId="5379617F"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14</w:t>
            </w:r>
          </w:p>
        </w:tc>
        <w:tc>
          <w:tcPr>
            <w:tcW w:w="566" w:type="pct"/>
            <w:noWrap/>
          </w:tcPr>
          <w:p w14:paraId="729E1ED3" w14:textId="77777777" w:rsidR="005F5304" w:rsidRPr="003506E5" w:rsidRDefault="005F5304" w:rsidP="00AD20D9">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rPr>
              <w:t>0.84%</w:t>
            </w:r>
          </w:p>
        </w:tc>
      </w:tr>
      <w:tr w:rsidR="00465FB4" w:rsidRPr="003506E5" w14:paraId="42F17B3C" w14:textId="77777777" w:rsidTr="00465FB4">
        <w:trPr>
          <w:trHeight w:val="321"/>
        </w:trPr>
        <w:tc>
          <w:tcPr>
            <w:cnfStyle w:val="001000000000" w:firstRow="0" w:lastRow="0" w:firstColumn="1" w:lastColumn="0" w:oddVBand="0" w:evenVBand="0" w:oddHBand="0" w:evenHBand="0" w:firstRowFirstColumn="0" w:firstRowLastColumn="0" w:lastRowFirstColumn="0" w:lastRowLastColumn="0"/>
            <w:tcW w:w="750" w:type="pct"/>
            <w:noWrap/>
            <w:hideMark/>
          </w:tcPr>
          <w:p w14:paraId="32D29D62" w14:textId="19450361" w:rsidR="00465FB4" w:rsidRPr="003506E5" w:rsidRDefault="00465FB4" w:rsidP="00465FB4">
            <w:pPr>
              <w:pStyle w:val="Tabletext"/>
              <w:rPr>
                <w:color w:val="000000"/>
              </w:rPr>
            </w:pPr>
            <w:r w:rsidRPr="003506E5">
              <w:rPr>
                <w:b w:val="0"/>
                <w:bCs/>
                <w:color w:val="000000"/>
                <w:szCs w:val="20"/>
              </w:rPr>
              <w:t>Chakarkote</w:t>
            </w:r>
          </w:p>
        </w:tc>
        <w:tc>
          <w:tcPr>
            <w:tcW w:w="600" w:type="pct"/>
            <w:noWrap/>
            <w:hideMark/>
          </w:tcPr>
          <w:p w14:paraId="54EC8614" w14:textId="0A8B94EB"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2110</w:t>
            </w:r>
          </w:p>
        </w:tc>
        <w:tc>
          <w:tcPr>
            <w:tcW w:w="651" w:type="pct"/>
            <w:noWrap/>
            <w:hideMark/>
          </w:tcPr>
          <w:p w14:paraId="10E08011" w14:textId="57B6B1CE"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144</w:t>
            </w:r>
          </w:p>
        </w:tc>
        <w:tc>
          <w:tcPr>
            <w:tcW w:w="566" w:type="pct"/>
            <w:noWrap/>
            <w:hideMark/>
          </w:tcPr>
          <w:p w14:paraId="0F9DB4A4" w14:textId="47B85586"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6.80%</w:t>
            </w:r>
          </w:p>
        </w:tc>
        <w:tc>
          <w:tcPr>
            <w:tcW w:w="651" w:type="pct"/>
            <w:noWrap/>
          </w:tcPr>
          <w:p w14:paraId="3027AE5A" w14:textId="2D2E78BD"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31</w:t>
            </w:r>
          </w:p>
        </w:tc>
        <w:tc>
          <w:tcPr>
            <w:tcW w:w="566" w:type="pct"/>
            <w:noWrap/>
            <w:hideMark/>
          </w:tcPr>
          <w:p w14:paraId="7D588410" w14:textId="60FCCA5C"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1.50%</w:t>
            </w:r>
          </w:p>
        </w:tc>
        <w:tc>
          <w:tcPr>
            <w:tcW w:w="651" w:type="pct"/>
            <w:noWrap/>
          </w:tcPr>
          <w:p w14:paraId="47CF640E" w14:textId="6592AD02"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12</w:t>
            </w:r>
          </w:p>
        </w:tc>
        <w:tc>
          <w:tcPr>
            <w:tcW w:w="566" w:type="pct"/>
            <w:noWrap/>
          </w:tcPr>
          <w:p w14:paraId="7A3E4BDE" w14:textId="051EADEA"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0.57%</w:t>
            </w:r>
          </w:p>
        </w:tc>
      </w:tr>
      <w:tr w:rsidR="00465FB4" w:rsidRPr="003506E5" w14:paraId="40764B73" w14:textId="77777777" w:rsidTr="00465FB4">
        <w:trPr>
          <w:trHeight w:val="321"/>
        </w:trPr>
        <w:tc>
          <w:tcPr>
            <w:cnfStyle w:val="001000000000" w:firstRow="0" w:lastRow="0" w:firstColumn="1" w:lastColumn="0" w:oddVBand="0" w:evenVBand="0" w:oddHBand="0" w:evenHBand="0" w:firstRowFirstColumn="0" w:firstRowLastColumn="0" w:lastRowFirstColumn="0" w:lastRowLastColumn="0"/>
            <w:tcW w:w="750" w:type="pct"/>
            <w:noWrap/>
            <w:hideMark/>
          </w:tcPr>
          <w:p w14:paraId="451182BD" w14:textId="4E440808" w:rsidR="00465FB4" w:rsidRPr="003506E5" w:rsidRDefault="00465FB4" w:rsidP="00465FB4">
            <w:pPr>
              <w:pStyle w:val="Tabletext"/>
              <w:rPr>
                <w:color w:val="000000"/>
              </w:rPr>
            </w:pPr>
            <w:r w:rsidRPr="003506E5">
              <w:rPr>
                <w:b w:val="0"/>
                <w:bCs/>
                <w:color w:val="000000"/>
                <w:szCs w:val="20"/>
              </w:rPr>
              <w:t>Damote</w:t>
            </w:r>
          </w:p>
        </w:tc>
        <w:tc>
          <w:tcPr>
            <w:tcW w:w="600" w:type="pct"/>
            <w:noWrap/>
            <w:hideMark/>
          </w:tcPr>
          <w:p w14:paraId="4BD1739C" w14:textId="2B6C48E7"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9690</w:t>
            </w:r>
          </w:p>
        </w:tc>
        <w:tc>
          <w:tcPr>
            <w:tcW w:w="651" w:type="pct"/>
            <w:noWrap/>
            <w:hideMark/>
          </w:tcPr>
          <w:p w14:paraId="3D4D178A" w14:textId="479DAE64"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78</w:t>
            </w:r>
          </w:p>
        </w:tc>
        <w:tc>
          <w:tcPr>
            <w:tcW w:w="566" w:type="pct"/>
            <w:noWrap/>
            <w:hideMark/>
          </w:tcPr>
          <w:p w14:paraId="518CEA3D" w14:textId="0C431EC7"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0.80%</w:t>
            </w:r>
          </w:p>
        </w:tc>
        <w:tc>
          <w:tcPr>
            <w:tcW w:w="651" w:type="pct"/>
            <w:noWrap/>
          </w:tcPr>
          <w:p w14:paraId="26030F96" w14:textId="5C695140"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127</w:t>
            </w:r>
          </w:p>
        </w:tc>
        <w:tc>
          <w:tcPr>
            <w:tcW w:w="566" w:type="pct"/>
            <w:noWrap/>
            <w:hideMark/>
          </w:tcPr>
          <w:p w14:paraId="5E79B6C5" w14:textId="0701D871"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1.30%</w:t>
            </w:r>
          </w:p>
        </w:tc>
        <w:tc>
          <w:tcPr>
            <w:tcW w:w="651" w:type="pct"/>
            <w:noWrap/>
          </w:tcPr>
          <w:p w14:paraId="7E659621" w14:textId="620925A0"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113</w:t>
            </w:r>
          </w:p>
        </w:tc>
        <w:tc>
          <w:tcPr>
            <w:tcW w:w="566" w:type="pct"/>
            <w:noWrap/>
          </w:tcPr>
          <w:p w14:paraId="1A3D65C7" w14:textId="443DFF93"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1.17%</w:t>
            </w:r>
          </w:p>
        </w:tc>
      </w:tr>
      <w:tr w:rsidR="00465FB4" w:rsidRPr="003506E5" w14:paraId="4C8B7E28" w14:textId="77777777" w:rsidTr="00465FB4">
        <w:trPr>
          <w:trHeight w:val="321"/>
        </w:trPr>
        <w:tc>
          <w:tcPr>
            <w:cnfStyle w:val="001000000000" w:firstRow="0" w:lastRow="0" w:firstColumn="1" w:lastColumn="0" w:oddVBand="0" w:evenVBand="0" w:oddHBand="0" w:evenHBand="0" w:firstRowFirstColumn="0" w:firstRowLastColumn="0" w:lastRowFirstColumn="0" w:lastRowLastColumn="0"/>
            <w:tcW w:w="750" w:type="pct"/>
            <w:noWrap/>
            <w:hideMark/>
          </w:tcPr>
          <w:p w14:paraId="1539518C" w14:textId="3E155BD6" w:rsidR="00465FB4" w:rsidRPr="003506E5" w:rsidRDefault="00465FB4" w:rsidP="00465FB4">
            <w:pPr>
              <w:pStyle w:val="Tabletext"/>
              <w:rPr>
                <w:color w:val="000000"/>
              </w:rPr>
            </w:pPr>
            <w:r w:rsidRPr="003506E5">
              <w:rPr>
                <w:b w:val="0"/>
                <w:bCs/>
                <w:color w:val="000000"/>
                <w:szCs w:val="20"/>
              </w:rPr>
              <w:t>Daniyor</w:t>
            </w:r>
          </w:p>
        </w:tc>
        <w:tc>
          <w:tcPr>
            <w:tcW w:w="600" w:type="pct"/>
            <w:noWrap/>
            <w:hideMark/>
          </w:tcPr>
          <w:p w14:paraId="52FA285F" w14:textId="0B500E91"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2114</w:t>
            </w:r>
          </w:p>
        </w:tc>
        <w:tc>
          <w:tcPr>
            <w:tcW w:w="651" w:type="pct"/>
            <w:noWrap/>
            <w:hideMark/>
          </w:tcPr>
          <w:p w14:paraId="61EBAD69" w14:textId="007E64D4"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41</w:t>
            </w:r>
          </w:p>
        </w:tc>
        <w:tc>
          <w:tcPr>
            <w:tcW w:w="566" w:type="pct"/>
            <w:noWrap/>
            <w:hideMark/>
          </w:tcPr>
          <w:p w14:paraId="29687A60" w14:textId="61F15D69"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1.90%</w:t>
            </w:r>
          </w:p>
        </w:tc>
        <w:tc>
          <w:tcPr>
            <w:tcW w:w="651" w:type="pct"/>
            <w:noWrap/>
          </w:tcPr>
          <w:p w14:paraId="282B7790" w14:textId="32FB1059"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18</w:t>
            </w:r>
          </w:p>
        </w:tc>
        <w:tc>
          <w:tcPr>
            <w:tcW w:w="566" w:type="pct"/>
            <w:noWrap/>
            <w:hideMark/>
          </w:tcPr>
          <w:p w14:paraId="26969C1E" w14:textId="2980DFD4"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0.90%</w:t>
            </w:r>
          </w:p>
        </w:tc>
        <w:tc>
          <w:tcPr>
            <w:tcW w:w="651" w:type="pct"/>
            <w:noWrap/>
          </w:tcPr>
          <w:p w14:paraId="7AEFE557" w14:textId="34A66BDF"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12</w:t>
            </w:r>
          </w:p>
        </w:tc>
        <w:tc>
          <w:tcPr>
            <w:tcW w:w="566" w:type="pct"/>
            <w:noWrap/>
          </w:tcPr>
          <w:p w14:paraId="603E2E85" w14:textId="5FC34AA0"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0.57%</w:t>
            </w:r>
          </w:p>
        </w:tc>
      </w:tr>
      <w:tr w:rsidR="00465FB4" w:rsidRPr="003506E5" w14:paraId="52DAAE35" w14:textId="77777777" w:rsidTr="00465FB4">
        <w:trPr>
          <w:trHeight w:val="321"/>
        </w:trPr>
        <w:tc>
          <w:tcPr>
            <w:cnfStyle w:val="001000000000" w:firstRow="0" w:lastRow="0" w:firstColumn="1" w:lastColumn="0" w:oddVBand="0" w:evenVBand="0" w:oddHBand="0" w:evenHBand="0" w:firstRowFirstColumn="0" w:firstRowLastColumn="0" w:lastRowFirstColumn="0" w:lastRowLastColumn="0"/>
            <w:tcW w:w="750" w:type="pct"/>
            <w:noWrap/>
            <w:hideMark/>
          </w:tcPr>
          <w:p w14:paraId="1E739635" w14:textId="0805DAEB" w:rsidR="00465FB4" w:rsidRPr="003506E5" w:rsidRDefault="00465FB4" w:rsidP="00465FB4">
            <w:pPr>
              <w:pStyle w:val="Tabletext"/>
              <w:rPr>
                <w:color w:val="000000"/>
              </w:rPr>
            </w:pPr>
            <w:r w:rsidRPr="003506E5">
              <w:rPr>
                <w:b w:val="0"/>
                <w:bCs/>
                <w:color w:val="000000"/>
                <w:szCs w:val="20"/>
              </w:rPr>
              <w:t xml:space="preserve">Gilgit </w:t>
            </w:r>
          </w:p>
        </w:tc>
        <w:tc>
          <w:tcPr>
            <w:tcW w:w="600" w:type="pct"/>
            <w:noWrap/>
            <w:hideMark/>
          </w:tcPr>
          <w:p w14:paraId="53562247" w14:textId="5A68DEB2"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7245</w:t>
            </w:r>
          </w:p>
        </w:tc>
        <w:tc>
          <w:tcPr>
            <w:tcW w:w="651" w:type="pct"/>
            <w:noWrap/>
            <w:hideMark/>
          </w:tcPr>
          <w:p w14:paraId="2A6DF262" w14:textId="62F207A2"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84</w:t>
            </w:r>
          </w:p>
        </w:tc>
        <w:tc>
          <w:tcPr>
            <w:tcW w:w="566" w:type="pct"/>
            <w:noWrap/>
            <w:hideMark/>
          </w:tcPr>
          <w:p w14:paraId="56F8655A" w14:textId="164B0C4C"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1.20%</w:t>
            </w:r>
          </w:p>
        </w:tc>
        <w:tc>
          <w:tcPr>
            <w:tcW w:w="651" w:type="pct"/>
            <w:noWrap/>
          </w:tcPr>
          <w:p w14:paraId="1255200A" w14:textId="661C40F8"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121</w:t>
            </w:r>
          </w:p>
        </w:tc>
        <w:tc>
          <w:tcPr>
            <w:tcW w:w="566" w:type="pct"/>
            <w:noWrap/>
            <w:hideMark/>
          </w:tcPr>
          <w:p w14:paraId="66BADA26" w14:textId="323022FF"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1.70%</w:t>
            </w:r>
          </w:p>
        </w:tc>
        <w:tc>
          <w:tcPr>
            <w:tcW w:w="651" w:type="pct"/>
            <w:noWrap/>
          </w:tcPr>
          <w:p w14:paraId="294FDEB0" w14:textId="5BE5CA8C"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116</w:t>
            </w:r>
          </w:p>
        </w:tc>
        <w:tc>
          <w:tcPr>
            <w:tcW w:w="566" w:type="pct"/>
            <w:noWrap/>
          </w:tcPr>
          <w:p w14:paraId="781EDB94" w14:textId="034896BB"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1.60%</w:t>
            </w:r>
          </w:p>
        </w:tc>
      </w:tr>
      <w:tr w:rsidR="00465FB4" w:rsidRPr="003506E5" w14:paraId="08EA1F7F" w14:textId="77777777" w:rsidTr="00465FB4">
        <w:trPr>
          <w:trHeight w:val="321"/>
        </w:trPr>
        <w:tc>
          <w:tcPr>
            <w:cnfStyle w:val="001000000000" w:firstRow="0" w:lastRow="0" w:firstColumn="1" w:lastColumn="0" w:oddVBand="0" w:evenVBand="0" w:oddHBand="0" w:evenHBand="0" w:firstRowFirstColumn="0" w:firstRowLastColumn="0" w:lastRowFirstColumn="0" w:lastRowLastColumn="0"/>
            <w:tcW w:w="750" w:type="pct"/>
            <w:noWrap/>
            <w:hideMark/>
          </w:tcPr>
          <w:p w14:paraId="2A5A0165" w14:textId="1BC5AA0B" w:rsidR="00465FB4" w:rsidRPr="003506E5" w:rsidRDefault="00465FB4" w:rsidP="00465FB4">
            <w:pPr>
              <w:pStyle w:val="Tabletext"/>
              <w:rPr>
                <w:color w:val="000000"/>
              </w:rPr>
            </w:pPr>
            <w:r w:rsidRPr="003506E5">
              <w:rPr>
                <w:b w:val="0"/>
                <w:bCs/>
                <w:color w:val="000000"/>
                <w:szCs w:val="20"/>
              </w:rPr>
              <w:t>Haramosh</w:t>
            </w:r>
          </w:p>
        </w:tc>
        <w:tc>
          <w:tcPr>
            <w:tcW w:w="600" w:type="pct"/>
            <w:noWrap/>
            <w:hideMark/>
          </w:tcPr>
          <w:p w14:paraId="59F446DF" w14:textId="235F6135"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1815</w:t>
            </w:r>
          </w:p>
        </w:tc>
        <w:tc>
          <w:tcPr>
            <w:tcW w:w="651" w:type="pct"/>
            <w:noWrap/>
            <w:hideMark/>
          </w:tcPr>
          <w:p w14:paraId="0B4FC849" w14:textId="1623BF32"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78</w:t>
            </w:r>
          </w:p>
        </w:tc>
        <w:tc>
          <w:tcPr>
            <w:tcW w:w="566" w:type="pct"/>
            <w:noWrap/>
            <w:hideMark/>
          </w:tcPr>
          <w:p w14:paraId="0EC341E2" w14:textId="3B6A1FFF"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4.30%</w:t>
            </w:r>
          </w:p>
        </w:tc>
        <w:tc>
          <w:tcPr>
            <w:tcW w:w="651" w:type="pct"/>
            <w:noWrap/>
          </w:tcPr>
          <w:p w14:paraId="73C338C4" w14:textId="2FA9135C"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70</w:t>
            </w:r>
          </w:p>
        </w:tc>
        <w:tc>
          <w:tcPr>
            <w:tcW w:w="566" w:type="pct"/>
            <w:noWrap/>
            <w:hideMark/>
          </w:tcPr>
          <w:p w14:paraId="2365A3DA" w14:textId="4F61B031"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3.90%</w:t>
            </w:r>
          </w:p>
        </w:tc>
        <w:tc>
          <w:tcPr>
            <w:tcW w:w="651" w:type="pct"/>
            <w:noWrap/>
          </w:tcPr>
          <w:p w14:paraId="0D4BA45C" w14:textId="317BB83D"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33</w:t>
            </w:r>
          </w:p>
        </w:tc>
        <w:tc>
          <w:tcPr>
            <w:tcW w:w="566" w:type="pct"/>
            <w:noWrap/>
          </w:tcPr>
          <w:p w14:paraId="29ED1FCF" w14:textId="2A69C156"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1.82%</w:t>
            </w:r>
          </w:p>
        </w:tc>
      </w:tr>
      <w:tr w:rsidR="00465FB4" w:rsidRPr="003506E5" w14:paraId="0163BB79" w14:textId="77777777" w:rsidTr="00465FB4">
        <w:trPr>
          <w:trHeight w:val="321"/>
        </w:trPr>
        <w:tc>
          <w:tcPr>
            <w:cnfStyle w:val="001000000000" w:firstRow="0" w:lastRow="0" w:firstColumn="1" w:lastColumn="0" w:oddVBand="0" w:evenVBand="0" w:oddHBand="0" w:evenHBand="0" w:firstRowFirstColumn="0" w:firstRowLastColumn="0" w:lastRowFirstColumn="0" w:lastRowLastColumn="0"/>
            <w:tcW w:w="750" w:type="pct"/>
            <w:noWrap/>
            <w:hideMark/>
          </w:tcPr>
          <w:p w14:paraId="18C6EFB4" w14:textId="20A1DB7B" w:rsidR="00465FB4" w:rsidRPr="003506E5" w:rsidRDefault="00465FB4" w:rsidP="00465FB4">
            <w:pPr>
              <w:pStyle w:val="Tabletext"/>
              <w:rPr>
                <w:color w:val="000000"/>
              </w:rPr>
            </w:pPr>
            <w:r w:rsidRPr="003506E5">
              <w:rPr>
                <w:b w:val="0"/>
                <w:bCs/>
                <w:color w:val="000000"/>
                <w:szCs w:val="20"/>
              </w:rPr>
              <w:t>Jalalabad</w:t>
            </w:r>
          </w:p>
        </w:tc>
        <w:tc>
          <w:tcPr>
            <w:tcW w:w="600" w:type="pct"/>
            <w:noWrap/>
            <w:hideMark/>
          </w:tcPr>
          <w:p w14:paraId="22E69872" w14:textId="1B095757"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2625</w:t>
            </w:r>
          </w:p>
        </w:tc>
        <w:tc>
          <w:tcPr>
            <w:tcW w:w="651" w:type="pct"/>
            <w:noWrap/>
            <w:hideMark/>
          </w:tcPr>
          <w:p w14:paraId="03730EE8" w14:textId="4F77DEBF"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114</w:t>
            </w:r>
          </w:p>
        </w:tc>
        <w:tc>
          <w:tcPr>
            <w:tcW w:w="566" w:type="pct"/>
            <w:noWrap/>
            <w:hideMark/>
          </w:tcPr>
          <w:p w14:paraId="700F8450" w14:textId="287E75F7"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4.30%</w:t>
            </w:r>
          </w:p>
        </w:tc>
        <w:tc>
          <w:tcPr>
            <w:tcW w:w="651" w:type="pct"/>
            <w:noWrap/>
          </w:tcPr>
          <w:p w14:paraId="1E53ED72" w14:textId="550C6078"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60</w:t>
            </w:r>
          </w:p>
        </w:tc>
        <w:tc>
          <w:tcPr>
            <w:tcW w:w="566" w:type="pct"/>
            <w:noWrap/>
            <w:hideMark/>
          </w:tcPr>
          <w:p w14:paraId="14C8F5F9" w14:textId="1504584A"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2.30%</w:t>
            </w:r>
          </w:p>
        </w:tc>
        <w:tc>
          <w:tcPr>
            <w:tcW w:w="651" w:type="pct"/>
            <w:noWrap/>
          </w:tcPr>
          <w:p w14:paraId="7C9116D6" w14:textId="58EB0BC8"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10</w:t>
            </w:r>
          </w:p>
        </w:tc>
        <w:tc>
          <w:tcPr>
            <w:tcW w:w="566" w:type="pct"/>
            <w:noWrap/>
          </w:tcPr>
          <w:p w14:paraId="65261796" w14:textId="62FA75FF"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0.38%</w:t>
            </w:r>
          </w:p>
        </w:tc>
      </w:tr>
      <w:tr w:rsidR="00465FB4" w:rsidRPr="003506E5" w14:paraId="41CD85C6" w14:textId="77777777" w:rsidTr="00465FB4">
        <w:trPr>
          <w:trHeight w:val="321"/>
        </w:trPr>
        <w:tc>
          <w:tcPr>
            <w:cnfStyle w:val="001000000000" w:firstRow="0" w:lastRow="0" w:firstColumn="1" w:lastColumn="0" w:oddVBand="0" w:evenVBand="0" w:oddHBand="0" w:evenHBand="0" w:firstRowFirstColumn="0" w:firstRowLastColumn="0" w:lastRowFirstColumn="0" w:lastRowLastColumn="0"/>
            <w:tcW w:w="750" w:type="pct"/>
            <w:noWrap/>
            <w:hideMark/>
          </w:tcPr>
          <w:p w14:paraId="6A1BCC99" w14:textId="7B354570" w:rsidR="00465FB4" w:rsidRPr="003506E5" w:rsidRDefault="00465FB4" w:rsidP="00465FB4">
            <w:pPr>
              <w:pStyle w:val="Tabletext"/>
              <w:rPr>
                <w:color w:val="000000"/>
              </w:rPr>
            </w:pPr>
            <w:r w:rsidRPr="003506E5">
              <w:rPr>
                <w:b w:val="0"/>
                <w:bCs/>
                <w:color w:val="000000"/>
                <w:szCs w:val="20"/>
              </w:rPr>
              <w:t>Nomal</w:t>
            </w:r>
          </w:p>
        </w:tc>
        <w:tc>
          <w:tcPr>
            <w:tcW w:w="600" w:type="pct"/>
            <w:noWrap/>
            <w:hideMark/>
          </w:tcPr>
          <w:p w14:paraId="4784F9E7" w14:textId="6ABA257D"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1225</w:t>
            </w:r>
          </w:p>
        </w:tc>
        <w:tc>
          <w:tcPr>
            <w:tcW w:w="651" w:type="pct"/>
            <w:noWrap/>
            <w:hideMark/>
          </w:tcPr>
          <w:p w14:paraId="5373DC92" w14:textId="7E3EC7B7"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67</w:t>
            </w:r>
          </w:p>
        </w:tc>
        <w:tc>
          <w:tcPr>
            <w:tcW w:w="566" w:type="pct"/>
            <w:noWrap/>
            <w:hideMark/>
          </w:tcPr>
          <w:p w14:paraId="1EE1BC16" w14:textId="68CECBF0"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5.50%</w:t>
            </w:r>
          </w:p>
        </w:tc>
        <w:tc>
          <w:tcPr>
            <w:tcW w:w="651" w:type="pct"/>
            <w:noWrap/>
          </w:tcPr>
          <w:p w14:paraId="54F952CF" w14:textId="2676896E"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21</w:t>
            </w:r>
          </w:p>
        </w:tc>
        <w:tc>
          <w:tcPr>
            <w:tcW w:w="566" w:type="pct"/>
            <w:noWrap/>
            <w:hideMark/>
          </w:tcPr>
          <w:p w14:paraId="7BEABF97" w14:textId="3CBC1B3D"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1.70%</w:t>
            </w:r>
          </w:p>
        </w:tc>
        <w:tc>
          <w:tcPr>
            <w:tcW w:w="651" w:type="pct"/>
            <w:noWrap/>
          </w:tcPr>
          <w:p w14:paraId="77C4EF60" w14:textId="6BBA1B05"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9</w:t>
            </w:r>
          </w:p>
        </w:tc>
        <w:tc>
          <w:tcPr>
            <w:tcW w:w="566" w:type="pct"/>
            <w:noWrap/>
          </w:tcPr>
          <w:p w14:paraId="592028E4" w14:textId="198C254A"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0.73%</w:t>
            </w:r>
          </w:p>
        </w:tc>
      </w:tr>
      <w:tr w:rsidR="00465FB4" w:rsidRPr="003506E5" w14:paraId="1D3DE7CE" w14:textId="77777777" w:rsidTr="00465FB4">
        <w:trPr>
          <w:trHeight w:val="321"/>
        </w:trPr>
        <w:tc>
          <w:tcPr>
            <w:cnfStyle w:val="001000000000" w:firstRow="0" w:lastRow="0" w:firstColumn="1" w:lastColumn="0" w:oddVBand="0" w:evenVBand="0" w:oddHBand="0" w:evenHBand="0" w:firstRowFirstColumn="0" w:firstRowLastColumn="0" w:lastRowFirstColumn="0" w:lastRowLastColumn="0"/>
            <w:tcW w:w="750" w:type="pct"/>
            <w:noWrap/>
            <w:hideMark/>
          </w:tcPr>
          <w:p w14:paraId="0491D9B2" w14:textId="1B713178" w:rsidR="00465FB4" w:rsidRPr="003506E5" w:rsidRDefault="00465FB4" w:rsidP="00465FB4">
            <w:pPr>
              <w:pStyle w:val="Tabletext"/>
              <w:rPr>
                <w:color w:val="000000"/>
              </w:rPr>
            </w:pPr>
            <w:r w:rsidRPr="003506E5">
              <w:rPr>
                <w:b w:val="0"/>
                <w:bCs/>
                <w:color w:val="000000"/>
                <w:szCs w:val="20"/>
              </w:rPr>
              <w:t>Rahimabad</w:t>
            </w:r>
          </w:p>
        </w:tc>
        <w:tc>
          <w:tcPr>
            <w:tcW w:w="600" w:type="pct"/>
            <w:noWrap/>
            <w:hideMark/>
          </w:tcPr>
          <w:p w14:paraId="6A593031" w14:textId="2FDF68D7"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1630</w:t>
            </w:r>
          </w:p>
        </w:tc>
        <w:tc>
          <w:tcPr>
            <w:tcW w:w="651" w:type="pct"/>
            <w:noWrap/>
            <w:hideMark/>
          </w:tcPr>
          <w:p w14:paraId="7A9AC048" w14:textId="48809382"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73</w:t>
            </w:r>
          </w:p>
        </w:tc>
        <w:tc>
          <w:tcPr>
            <w:tcW w:w="566" w:type="pct"/>
            <w:noWrap/>
            <w:hideMark/>
          </w:tcPr>
          <w:p w14:paraId="1DCF8D5C" w14:textId="4B33EF56"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4.50%</w:t>
            </w:r>
          </w:p>
        </w:tc>
        <w:tc>
          <w:tcPr>
            <w:tcW w:w="651" w:type="pct"/>
            <w:noWrap/>
          </w:tcPr>
          <w:p w14:paraId="3E6EB7FF" w14:textId="7980697F"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107</w:t>
            </w:r>
          </w:p>
        </w:tc>
        <w:tc>
          <w:tcPr>
            <w:tcW w:w="566" w:type="pct"/>
            <w:noWrap/>
            <w:hideMark/>
          </w:tcPr>
          <w:p w14:paraId="3895869B" w14:textId="40332090"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6.60%</w:t>
            </w:r>
          </w:p>
        </w:tc>
        <w:tc>
          <w:tcPr>
            <w:tcW w:w="651" w:type="pct"/>
            <w:noWrap/>
          </w:tcPr>
          <w:p w14:paraId="5B59C166" w14:textId="1AC9530A"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13</w:t>
            </w:r>
          </w:p>
        </w:tc>
        <w:tc>
          <w:tcPr>
            <w:tcW w:w="566" w:type="pct"/>
            <w:noWrap/>
          </w:tcPr>
          <w:p w14:paraId="1D5D3EC6" w14:textId="242CFE70"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0.80%</w:t>
            </w:r>
          </w:p>
        </w:tc>
      </w:tr>
      <w:tr w:rsidR="00465FB4" w:rsidRPr="003506E5" w14:paraId="05F9AABC" w14:textId="77777777" w:rsidTr="00465FB4">
        <w:trPr>
          <w:trHeight w:val="321"/>
        </w:trPr>
        <w:tc>
          <w:tcPr>
            <w:cnfStyle w:val="001000000000" w:firstRow="0" w:lastRow="0" w:firstColumn="1" w:lastColumn="0" w:oddVBand="0" w:evenVBand="0" w:oddHBand="0" w:evenHBand="0" w:firstRowFirstColumn="0" w:firstRowLastColumn="0" w:lastRowFirstColumn="0" w:lastRowLastColumn="0"/>
            <w:tcW w:w="750" w:type="pct"/>
            <w:noWrap/>
            <w:hideMark/>
          </w:tcPr>
          <w:p w14:paraId="6AF29450" w14:textId="792C92D8" w:rsidR="00465FB4" w:rsidRPr="003506E5" w:rsidRDefault="00465FB4" w:rsidP="00465FB4">
            <w:pPr>
              <w:pStyle w:val="Tabletext"/>
              <w:rPr>
                <w:color w:val="000000"/>
              </w:rPr>
            </w:pPr>
            <w:r w:rsidRPr="003506E5">
              <w:rPr>
                <w:b w:val="0"/>
                <w:bCs/>
                <w:color w:val="000000"/>
                <w:szCs w:val="20"/>
              </w:rPr>
              <w:t>Shakiyot</w:t>
            </w:r>
          </w:p>
        </w:tc>
        <w:tc>
          <w:tcPr>
            <w:tcW w:w="600" w:type="pct"/>
            <w:noWrap/>
            <w:hideMark/>
          </w:tcPr>
          <w:p w14:paraId="7730B007" w14:textId="307B1EF0"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4130</w:t>
            </w:r>
          </w:p>
        </w:tc>
        <w:tc>
          <w:tcPr>
            <w:tcW w:w="651" w:type="pct"/>
            <w:noWrap/>
            <w:hideMark/>
          </w:tcPr>
          <w:p w14:paraId="21DDFD32" w14:textId="132D32E2"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83</w:t>
            </w:r>
          </w:p>
        </w:tc>
        <w:tc>
          <w:tcPr>
            <w:tcW w:w="566" w:type="pct"/>
            <w:noWrap/>
            <w:hideMark/>
          </w:tcPr>
          <w:p w14:paraId="5C473C5B" w14:textId="1D67808C"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2.00%</w:t>
            </w:r>
          </w:p>
        </w:tc>
        <w:tc>
          <w:tcPr>
            <w:tcW w:w="651" w:type="pct"/>
            <w:noWrap/>
          </w:tcPr>
          <w:p w14:paraId="33E35D0E" w14:textId="7615A91A"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66</w:t>
            </w:r>
          </w:p>
        </w:tc>
        <w:tc>
          <w:tcPr>
            <w:tcW w:w="566" w:type="pct"/>
            <w:noWrap/>
            <w:hideMark/>
          </w:tcPr>
          <w:p w14:paraId="3475AE70" w14:textId="3B16B632"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1.60%</w:t>
            </w:r>
          </w:p>
        </w:tc>
        <w:tc>
          <w:tcPr>
            <w:tcW w:w="651" w:type="pct"/>
            <w:noWrap/>
          </w:tcPr>
          <w:p w14:paraId="21B1DC0D" w14:textId="66FF1533"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11</w:t>
            </w:r>
          </w:p>
        </w:tc>
        <w:tc>
          <w:tcPr>
            <w:tcW w:w="566" w:type="pct"/>
            <w:noWrap/>
          </w:tcPr>
          <w:p w14:paraId="3F539EA3" w14:textId="5D16B09F"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0.27%</w:t>
            </w:r>
          </w:p>
        </w:tc>
      </w:tr>
      <w:tr w:rsidR="00465FB4" w:rsidRPr="003506E5" w14:paraId="584461C6" w14:textId="77777777" w:rsidTr="00465FB4">
        <w:trPr>
          <w:trHeight w:val="321"/>
        </w:trPr>
        <w:tc>
          <w:tcPr>
            <w:cnfStyle w:val="001000000000" w:firstRow="0" w:lastRow="0" w:firstColumn="1" w:lastColumn="0" w:oddVBand="0" w:evenVBand="0" w:oddHBand="0" w:evenHBand="0" w:firstRowFirstColumn="0" w:firstRowLastColumn="0" w:lastRowFirstColumn="0" w:lastRowLastColumn="0"/>
            <w:tcW w:w="750" w:type="pct"/>
            <w:noWrap/>
            <w:hideMark/>
          </w:tcPr>
          <w:p w14:paraId="5617A7C4" w14:textId="139F43AF" w:rsidR="00465FB4" w:rsidRPr="003506E5" w:rsidRDefault="00465FB4" w:rsidP="00465FB4">
            <w:pPr>
              <w:pStyle w:val="Tabletext"/>
              <w:rPr>
                <w:color w:val="000000"/>
              </w:rPr>
            </w:pPr>
            <w:r w:rsidRPr="003506E5">
              <w:rPr>
                <w:b w:val="0"/>
                <w:bCs/>
                <w:color w:val="000000"/>
                <w:szCs w:val="20"/>
              </w:rPr>
              <w:t>Sakwar</w:t>
            </w:r>
          </w:p>
        </w:tc>
        <w:tc>
          <w:tcPr>
            <w:tcW w:w="600" w:type="pct"/>
            <w:noWrap/>
            <w:hideMark/>
          </w:tcPr>
          <w:p w14:paraId="648BF041" w14:textId="3AC0A2ED"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1423</w:t>
            </w:r>
          </w:p>
        </w:tc>
        <w:tc>
          <w:tcPr>
            <w:tcW w:w="651" w:type="pct"/>
            <w:noWrap/>
            <w:hideMark/>
          </w:tcPr>
          <w:p w14:paraId="678CD696" w14:textId="614FB983"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46</w:t>
            </w:r>
          </w:p>
        </w:tc>
        <w:tc>
          <w:tcPr>
            <w:tcW w:w="566" w:type="pct"/>
            <w:noWrap/>
            <w:hideMark/>
          </w:tcPr>
          <w:p w14:paraId="211124B1" w14:textId="149DE383"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3.20%</w:t>
            </w:r>
          </w:p>
        </w:tc>
        <w:tc>
          <w:tcPr>
            <w:tcW w:w="651" w:type="pct"/>
            <w:noWrap/>
          </w:tcPr>
          <w:p w14:paraId="29B958DE" w14:textId="61A3E6B5"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15</w:t>
            </w:r>
          </w:p>
        </w:tc>
        <w:tc>
          <w:tcPr>
            <w:tcW w:w="566" w:type="pct"/>
            <w:noWrap/>
            <w:hideMark/>
          </w:tcPr>
          <w:p w14:paraId="469309D3" w14:textId="2CA0DDF1"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1.10%</w:t>
            </w:r>
          </w:p>
        </w:tc>
        <w:tc>
          <w:tcPr>
            <w:tcW w:w="651" w:type="pct"/>
            <w:noWrap/>
          </w:tcPr>
          <w:p w14:paraId="11ECC0F1" w14:textId="714B0AE5"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12</w:t>
            </w:r>
          </w:p>
        </w:tc>
        <w:tc>
          <w:tcPr>
            <w:tcW w:w="566" w:type="pct"/>
            <w:noWrap/>
          </w:tcPr>
          <w:p w14:paraId="42B2967F" w14:textId="4E3B227E"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506E5">
              <w:rPr>
                <w:color w:val="000000"/>
                <w:szCs w:val="20"/>
              </w:rPr>
              <w:t>0.84%</w:t>
            </w:r>
          </w:p>
        </w:tc>
      </w:tr>
      <w:tr w:rsidR="00465FB4" w:rsidRPr="003506E5" w14:paraId="0256CD29" w14:textId="77777777" w:rsidTr="00465FB4">
        <w:trPr>
          <w:trHeight w:val="321"/>
        </w:trPr>
        <w:tc>
          <w:tcPr>
            <w:cnfStyle w:val="001000000000" w:firstRow="0" w:lastRow="0" w:firstColumn="1" w:lastColumn="0" w:oddVBand="0" w:evenVBand="0" w:oddHBand="0" w:evenHBand="0" w:firstRowFirstColumn="0" w:firstRowLastColumn="0" w:lastRowFirstColumn="0" w:lastRowLastColumn="0"/>
            <w:tcW w:w="750" w:type="pct"/>
            <w:noWrap/>
            <w:hideMark/>
          </w:tcPr>
          <w:p w14:paraId="5267C863" w14:textId="2178B13B" w:rsidR="00465FB4" w:rsidRPr="003506E5" w:rsidRDefault="00465FB4" w:rsidP="00465FB4">
            <w:pPr>
              <w:pStyle w:val="Tabletext"/>
              <w:rPr>
                <w:color w:val="000000"/>
              </w:rPr>
            </w:pPr>
            <w:r w:rsidRPr="003506E5">
              <w:rPr>
                <w:b w:val="0"/>
                <w:bCs/>
                <w:color w:val="000000"/>
                <w:szCs w:val="20"/>
              </w:rPr>
              <w:t>Total</w:t>
            </w:r>
          </w:p>
        </w:tc>
        <w:tc>
          <w:tcPr>
            <w:tcW w:w="600" w:type="pct"/>
            <w:noWrap/>
            <w:hideMark/>
          </w:tcPr>
          <w:p w14:paraId="727F6789" w14:textId="18085F23"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b/>
                <w:color w:val="000000"/>
              </w:rPr>
            </w:pPr>
            <w:r w:rsidRPr="003506E5">
              <w:rPr>
                <w:b/>
                <w:bCs/>
                <w:color w:val="000000"/>
                <w:szCs w:val="20"/>
              </w:rPr>
              <w:t>35667</w:t>
            </w:r>
          </w:p>
        </w:tc>
        <w:tc>
          <w:tcPr>
            <w:tcW w:w="651" w:type="pct"/>
            <w:noWrap/>
            <w:hideMark/>
          </w:tcPr>
          <w:p w14:paraId="1CB3F05A" w14:textId="07A81112"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b/>
                <w:color w:val="000000"/>
              </w:rPr>
            </w:pPr>
            <w:r w:rsidRPr="003506E5">
              <w:rPr>
                <w:b/>
                <w:bCs/>
                <w:color w:val="000000"/>
                <w:szCs w:val="20"/>
              </w:rPr>
              <w:t>840</w:t>
            </w:r>
          </w:p>
        </w:tc>
        <w:tc>
          <w:tcPr>
            <w:tcW w:w="566" w:type="pct"/>
            <w:noWrap/>
            <w:hideMark/>
          </w:tcPr>
          <w:p w14:paraId="3E1870A8" w14:textId="01FAD338"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b/>
                <w:color w:val="000000"/>
              </w:rPr>
            </w:pPr>
            <w:r w:rsidRPr="003506E5">
              <w:rPr>
                <w:b/>
                <w:bCs/>
                <w:color w:val="000000"/>
                <w:szCs w:val="20"/>
              </w:rPr>
              <w:t>2.40%</w:t>
            </w:r>
          </w:p>
        </w:tc>
        <w:tc>
          <w:tcPr>
            <w:tcW w:w="651" w:type="pct"/>
            <w:noWrap/>
          </w:tcPr>
          <w:p w14:paraId="4AA6AD34" w14:textId="3DC51B24"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b/>
                <w:color w:val="000000"/>
              </w:rPr>
            </w:pPr>
            <w:r w:rsidRPr="003506E5">
              <w:rPr>
                <w:b/>
                <w:bCs/>
                <w:color w:val="000000"/>
                <w:szCs w:val="20"/>
              </w:rPr>
              <w:t>663</w:t>
            </w:r>
          </w:p>
        </w:tc>
        <w:tc>
          <w:tcPr>
            <w:tcW w:w="566" w:type="pct"/>
            <w:noWrap/>
            <w:hideMark/>
          </w:tcPr>
          <w:p w14:paraId="774F8B5D" w14:textId="5164EEA5"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b/>
                <w:color w:val="000000"/>
              </w:rPr>
            </w:pPr>
            <w:r w:rsidRPr="003506E5">
              <w:rPr>
                <w:b/>
                <w:bCs/>
                <w:color w:val="000000"/>
                <w:szCs w:val="20"/>
              </w:rPr>
              <w:t>1.90%</w:t>
            </w:r>
          </w:p>
        </w:tc>
        <w:tc>
          <w:tcPr>
            <w:tcW w:w="651" w:type="pct"/>
            <w:noWrap/>
          </w:tcPr>
          <w:p w14:paraId="41A26911" w14:textId="08E0179C"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b/>
                <w:color w:val="000000"/>
              </w:rPr>
            </w:pPr>
            <w:r w:rsidRPr="003506E5">
              <w:rPr>
                <w:b/>
                <w:bCs/>
                <w:color w:val="000000"/>
                <w:szCs w:val="20"/>
              </w:rPr>
              <w:t>341</w:t>
            </w:r>
          </w:p>
        </w:tc>
        <w:tc>
          <w:tcPr>
            <w:tcW w:w="566" w:type="pct"/>
            <w:noWrap/>
          </w:tcPr>
          <w:p w14:paraId="0EA59BCD" w14:textId="63499F87" w:rsidR="00465FB4" w:rsidRPr="003506E5" w:rsidRDefault="00465FB4" w:rsidP="00465FB4">
            <w:pPr>
              <w:pStyle w:val="Tabletext"/>
              <w:jc w:val="center"/>
              <w:cnfStyle w:val="000000000000" w:firstRow="0" w:lastRow="0" w:firstColumn="0" w:lastColumn="0" w:oddVBand="0" w:evenVBand="0" w:oddHBand="0" w:evenHBand="0" w:firstRowFirstColumn="0" w:firstRowLastColumn="0" w:lastRowFirstColumn="0" w:lastRowLastColumn="0"/>
              <w:rPr>
                <w:b/>
                <w:bCs/>
                <w:color w:val="000000"/>
              </w:rPr>
            </w:pPr>
            <w:r w:rsidRPr="003506E5">
              <w:rPr>
                <w:b/>
                <w:bCs/>
                <w:color w:val="000000"/>
                <w:szCs w:val="20"/>
              </w:rPr>
              <w:t>0.96%</w:t>
            </w:r>
          </w:p>
        </w:tc>
      </w:tr>
    </w:tbl>
    <w:p w14:paraId="1B16401A" w14:textId="77777777" w:rsidR="005F5304" w:rsidRPr="003506E5" w:rsidRDefault="005F5304" w:rsidP="005F5304">
      <w:pPr>
        <w:pStyle w:val="Heading20"/>
      </w:pPr>
      <w:bookmarkStart w:id="43" w:name="_Toc57215290"/>
      <w:r w:rsidRPr="003506E5">
        <w:t>Hospitals visited by the Insured</w:t>
      </w:r>
      <w:bookmarkEnd w:id="43"/>
    </w:p>
    <w:p w14:paraId="3FA5F29F" w14:textId="6C5EF576" w:rsidR="005F5304" w:rsidRPr="003506E5" w:rsidRDefault="005F5304" w:rsidP="003D26A4">
      <w:pPr>
        <w:pStyle w:val="BodyText"/>
      </w:pPr>
      <w:r w:rsidRPr="003506E5">
        <w:t xml:space="preserve">During the reporting period Aga Khan Medical Centre, Gilgit (GMC) remained the most utilised health facility and got </w:t>
      </w:r>
      <w:r w:rsidR="00465FB4" w:rsidRPr="003506E5">
        <w:t>59.7</w:t>
      </w:r>
      <w:r w:rsidRPr="003506E5">
        <w:t xml:space="preserve">% share in total admissions. Most of the </w:t>
      </w:r>
      <w:r w:rsidR="001F7468" w:rsidRPr="003506E5">
        <w:t xml:space="preserve">admissions </w:t>
      </w:r>
      <w:r w:rsidRPr="003506E5">
        <w:t xml:space="preserve">in GMC were from amongst the wider </w:t>
      </w:r>
      <w:r w:rsidR="001F7468" w:rsidRPr="003506E5">
        <w:t>population (89%) who</w:t>
      </w:r>
      <w:r w:rsidRPr="003506E5">
        <w:t xml:space="preserve"> had purchased insurance on voluntary basis. This could possibly be due to the fact</w:t>
      </w:r>
      <w:r w:rsidR="003D26A4">
        <w:t xml:space="preserve">, as already highlighted, </w:t>
      </w:r>
      <w:r w:rsidRPr="003506E5">
        <w:t xml:space="preserve">that the </w:t>
      </w:r>
      <w:r w:rsidR="003D26A4">
        <w:t>major part</w:t>
      </w:r>
      <w:r w:rsidRPr="003506E5">
        <w:t xml:space="preserve"> of </w:t>
      </w:r>
      <w:r w:rsidR="003D26A4">
        <w:t xml:space="preserve">the </w:t>
      </w:r>
      <w:r w:rsidRPr="003506E5">
        <w:t>population that purchas</w:t>
      </w:r>
      <w:r w:rsidR="003D26A4">
        <w:t>ed</w:t>
      </w:r>
      <w:r w:rsidRPr="003506E5">
        <w:t xml:space="preserve"> health insurance </w:t>
      </w:r>
      <w:r w:rsidR="003D26A4">
        <w:t>is from the catchment population of AKHSP which also arranges community-based events for its target population. Moreover this population also used to purchase micro health insurance even before launching of SHPI and that time no p</w:t>
      </w:r>
      <w:r w:rsidRPr="003506E5">
        <w:t xml:space="preserve">ublic sector hospital </w:t>
      </w:r>
      <w:r w:rsidR="003D26A4">
        <w:t>was</w:t>
      </w:r>
      <w:r w:rsidRPr="003506E5">
        <w:t xml:space="preserve"> empanelled</w:t>
      </w:r>
      <w:r w:rsidR="003D26A4">
        <w:t>.</w:t>
      </w:r>
      <w:r w:rsidRPr="003506E5">
        <w:t xml:space="preserve"> The City Hospital and DHQ were also utilised by patients from eligible population, as being economical secondary healthcare facilities. The utilisation of Sehat Foundation Hospital and Family Health Hospitals remained low these facilities provide comparatively limited range of healthcare. </w:t>
      </w:r>
    </w:p>
    <w:p w14:paraId="5C599B0C" w14:textId="77777777" w:rsidR="005F5304" w:rsidRPr="003506E5" w:rsidRDefault="005F5304" w:rsidP="005F5304">
      <w:pPr>
        <w:pStyle w:val="BodyText"/>
      </w:pPr>
      <w:r w:rsidRPr="003506E5">
        <w:t xml:space="preserve">The following table gives hospital-wise admissions from eligible and wider populations. </w:t>
      </w:r>
    </w:p>
    <w:p w14:paraId="749DFAAA" w14:textId="5DDBD3B2" w:rsidR="005F5304" w:rsidRPr="003506E5" w:rsidRDefault="005F5304" w:rsidP="005F5304">
      <w:pPr>
        <w:pStyle w:val="Caption"/>
      </w:pPr>
      <w:bookmarkStart w:id="44" w:name="_Toc57215234"/>
      <w:r w:rsidRPr="003506E5">
        <w:t xml:space="preserve">Table </w:t>
      </w:r>
      <w:r w:rsidR="00B76041" w:rsidRPr="003506E5">
        <w:fldChar w:fldCharType="begin"/>
      </w:r>
      <w:r w:rsidRPr="003506E5">
        <w:instrText xml:space="preserve"> SEQ Table \* ARABIC </w:instrText>
      </w:r>
      <w:r w:rsidR="00B76041" w:rsidRPr="003506E5">
        <w:fldChar w:fldCharType="separate"/>
      </w:r>
      <w:r w:rsidR="00AE4FA0">
        <w:rPr>
          <w:noProof/>
        </w:rPr>
        <w:t>14</w:t>
      </w:r>
      <w:r w:rsidR="00B76041" w:rsidRPr="003506E5">
        <w:fldChar w:fldCharType="end"/>
      </w:r>
      <w:r w:rsidRPr="003506E5">
        <w:t>:</w:t>
      </w:r>
      <w:r w:rsidR="00EB1301" w:rsidRPr="003506E5">
        <w:t xml:space="preserve"> </w:t>
      </w:r>
      <w:r w:rsidRPr="003506E5">
        <w:t>Admissions in each Hospital (Jul-Dec 20</w:t>
      </w:r>
      <w:r w:rsidR="00465FB4" w:rsidRPr="003506E5">
        <w:t>20</w:t>
      </w:r>
      <w:r w:rsidRPr="003506E5">
        <w:t>)</w:t>
      </w:r>
      <w:bookmarkEnd w:id="44"/>
    </w:p>
    <w:tbl>
      <w:tblPr>
        <w:tblW w:w="7550" w:type="dxa"/>
        <w:tblLook w:val="04A0" w:firstRow="1" w:lastRow="0" w:firstColumn="1" w:lastColumn="0" w:noHBand="0" w:noVBand="1"/>
      </w:tblPr>
      <w:tblGrid>
        <w:gridCol w:w="2783"/>
        <w:gridCol w:w="1151"/>
        <w:gridCol w:w="1151"/>
        <w:gridCol w:w="1151"/>
        <w:gridCol w:w="1314"/>
      </w:tblGrid>
      <w:tr w:rsidR="00465FB4" w:rsidRPr="003506E5" w14:paraId="3A5E6E1E" w14:textId="77777777" w:rsidTr="00271528">
        <w:trPr>
          <w:trHeight w:val="181"/>
        </w:trPr>
        <w:tc>
          <w:tcPr>
            <w:tcW w:w="2783" w:type="dxa"/>
            <w:tcBorders>
              <w:top w:val="single" w:sz="8" w:space="0" w:color="45A7E1"/>
              <w:left w:val="single" w:sz="8" w:space="0" w:color="45A7E1"/>
              <w:bottom w:val="single" w:sz="8" w:space="0" w:color="45A7E1"/>
              <w:right w:val="single" w:sz="8" w:space="0" w:color="45A7E1"/>
            </w:tcBorders>
            <w:shd w:val="clear" w:color="000000" w:fill="0B1F51"/>
            <w:vAlign w:val="center"/>
            <w:hideMark/>
          </w:tcPr>
          <w:p w14:paraId="2A57CF91" w14:textId="11953D10" w:rsidR="00465FB4" w:rsidRPr="003506E5" w:rsidRDefault="00465FB4" w:rsidP="00465FB4">
            <w:pPr>
              <w:spacing w:after="0" w:line="240" w:lineRule="auto"/>
              <w:jc w:val="both"/>
              <w:rPr>
                <w:rFonts w:eastAsia="Times New Roman"/>
                <w:b/>
                <w:bCs/>
                <w:color w:val="FFFFFF"/>
                <w:sz w:val="20"/>
                <w:szCs w:val="20"/>
                <w:lang w:eastAsia="en-US"/>
              </w:rPr>
            </w:pPr>
            <w:r w:rsidRPr="003506E5">
              <w:rPr>
                <w:rFonts w:eastAsia="Times New Roman"/>
                <w:b/>
                <w:bCs/>
                <w:color w:val="FFFFFF"/>
                <w:sz w:val="20"/>
                <w:szCs w:val="20"/>
                <w:lang w:eastAsia="en-US"/>
              </w:rPr>
              <w:t>Hospital</w:t>
            </w:r>
          </w:p>
        </w:tc>
        <w:tc>
          <w:tcPr>
            <w:tcW w:w="1151" w:type="dxa"/>
            <w:tcBorders>
              <w:top w:val="single" w:sz="8" w:space="0" w:color="45A7E1"/>
              <w:left w:val="nil"/>
              <w:bottom w:val="single" w:sz="8" w:space="0" w:color="45A7E1"/>
              <w:right w:val="single" w:sz="8" w:space="0" w:color="45A7E1"/>
            </w:tcBorders>
            <w:shd w:val="clear" w:color="000000" w:fill="0B1F51"/>
            <w:vAlign w:val="center"/>
            <w:hideMark/>
          </w:tcPr>
          <w:p w14:paraId="05C2CA4B" w14:textId="77777777" w:rsidR="00465FB4" w:rsidRPr="003506E5" w:rsidRDefault="00465FB4" w:rsidP="00271528">
            <w:pPr>
              <w:spacing w:after="0" w:line="240" w:lineRule="auto"/>
              <w:jc w:val="center"/>
              <w:rPr>
                <w:rFonts w:eastAsia="Times New Roman"/>
                <w:b/>
                <w:bCs/>
                <w:color w:val="FFFFFF"/>
                <w:sz w:val="20"/>
                <w:szCs w:val="20"/>
                <w:lang w:eastAsia="en-US"/>
              </w:rPr>
            </w:pPr>
            <w:r w:rsidRPr="003506E5">
              <w:rPr>
                <w:rFonts w:eastAsia="Times New Roman"/>
                <w:b/>
                <w:bCs/>
                <w:color w:val="FFFFFF"/>
                <w:sz w:val="20"/>
                <w:szCs w:val="20"/>
                <w:lang w:eastAsia="en-US"/>
              </w:rPr>
              <w:t>Eligible</w:t>
            </w:r>
          </w:p>
        </w:tc>
        <w:tc>
          <w:tcPr>
            <w:tcW w:w="1151" w:type="dxa"/>
            <w:tcBorders>
              <w:top w:val="single" w:sz="8" w:space="0" w:color="45A7E1"/>
              <w:left w:val="nil"/>
              <w:bottom w:val="single" w:sz="8" w:space="0" w:color="45A7E1"/>
              <w:right w:val="single" w:sz="8" w:space="0" w:color="45A7E1"/>
            </w:tcBorders>
            <w:shd w:val="clear" w:color="000000" w:fill="0B1F51"/>
            <w:vAlign w:val="center"/>
            <w:hideMark/>
          </w:tcPr>
          <w:p w14:paraId="1CD73FD8" w14:textId="77777777" w:rsidR="00465FB4" w:rsidRPr="003506E5" w:rsidRDefault="00465FB4" w:rsidP="00271528">
            <w:pPr>
              <w:spacing w:after="0" w:line="240" w:lineRule="auto"/>
              <w:jc w:val="center"/>
              <w:rPr>
                <w:rFonts w:eastAsia="Times New Roman"/>
                <w:b/>
                <w:bCs/>
                <w:color w:val="FFFFFF"/>
                <w:sz w:val="20"/>
                <w:szCs w:val="20"/>
                <w:lang w:eastAsia="en-US"/>
              </w:rPr>
            </w:pPr>
            <w:r w:rsidRPr="003506E5">
              <w:rPr>
                <w:rFonts w:eastAsia="Times New Roman"/>
                <w:b/>
                <w:bCs/>
                <w:color w:val="FFFFFF"/>
                <w:sz w:val="20"/>
                <w:szCs w:val="20"/>
                <w:lang w:eastAsia="en-US"/>
              </w:rPr>
              <w:t>Wider</w:t>
            </w:r>
          </w:p>
        </w:tc>
        <w:tc>
          <w:tcPr>
            <w:tcW w:w="1151" w:type="dxa"/>
            <w:tcBorders>
              <w:top w:val="single" w:sz="8" w:space="0" w:color="45A7E1"/>
              <w:left w:val="nil"/>
              <w:bottom w:val="single" w:sz="8" w:space="0" w:color="45A7E1"/>
              <w:right w:val="single" w:sz="8" w:space="0" w:color="45A7E1"/>
            </w:tcBorders>
            <w:shd w:val="clear" w:color="000000" w:fill="0B1F51"/>
            <w:vAlign w:val="center"/>
            <w:hideMark/>
          </w:tcPr>
          <w:p w14:paraId="08B8F579" w14:textId="77777777" w:rsidR="00465FB4" w:rsidRPr="003506E5" w:rsidRDefault="00465FB4" w:rsidP="00271528">
            <w:pPr>
              <w:spacing w:after="0" w:line="240" w:lineRule="auto"/>
              <w:jc w:val="center"/>
              <w:rPr>
                <w:rFonts w:eastAsia="Times New Roman"/>
                <w:b/>
                <w:bCs/>
                <w:color w:val="FFFFFF"/>
                <w:sz w:val="20"/>
                <w:szCs w:val="20"/>
                <w:lang w:eastAsia="en-US"/>
              </w:rPr>
            </w:pPr>
            <w:r w:rsidRPr="003506E5">
              <w:rPr>
                <w:rFonts w:eastAsia="Times New Roman"/>
                <w:b/>
                <w:bCs/>
                <w:color w:val="FFFFFF"/>
                <w:sz w:val="20"/>
                <w:szCs w:val="20"/>
                <w:lang w:eastAsia="en-US"/>
              </w:rPr>
              <w:t>Total</w:t>
            </w:r>
          </w:p>
        </w:tc>
        <w:tc>
          <w:tcPr>
            <w:tcW w:w="1314" w:type="dxa"/>
            <w:tcBorders>
              <w:top w:val="single" w:sz="8" w:space="0" w:color="45A7E1"/>
              <w:left w:val="nil"/>
              <w:bottom w:val="single" w:sz="8" w:space="0" w:color="45A7E1"/>
              <w:right w:val="single" w:sz="8" w:space="0" w:color="45A7E1"/>
            </w:tcBorders>
            <w:shd w:val="clear" w:color="000000" w:fill="0B1F51"/>
            <w:vAlign w:val="center"/>
            <w:hideMark/>
          </w:tcPr>
          <w:p w14:paraId="3AADD8AE" w14:textId="63BC8B83" w:rsidR="00465FB4" w:rsidRPr="003506E5" w:rsidRDefault="00271528" w:rsidP="00271528">
            <w:pPr>
              <w:spacing w:after="0" w:line="240" w:lineRule="auto"/>
              <w:jc w:val="center"/>
              <w:rPr>
                <w:rFonts w:eastAsia="Times New Roman"/>
                <w:b/>
                <w:bCs/>
                <w:color w:val="FFFFFF"/>
                <w:sz w:val="20"/>
                <w:szCs w:val="20"/>
                <w:lang w:eastAsia="en-US"/>
              </w:rPr>
            </w:pPr>
            <w:r>
              <w:rPr>
                <w:rFonts w:eastAsia="Times New Roman"/>
                <w:b/>
                <w:bCs/>
                <w:color w:val="FFFFFF"/>
                <w:sz w:val="20"/>
                <w:szCs w:val="20"/>
                <w:lang w:eastAsia="en-US"/>
              </w:rPr>
              <w:t>%</w:t>
            </w:r>
          </w:p>
        </w:tc>
      </w:tr>
      <w:tr w:rsidR="00465FB4" w:rsidRPr="003506E5" w14:paraId="19B54935" w14:textId="77777777" w:rsidTr="00271528">
        <w:trPr>
          <w:trHeight w:val="187"/>
        </w:trPr>
        <w:tc>
          <w:tcPr>
            <w:tcW w:w="2783" w:type="dxa"/>
            <w:tcBorders>
              <w:top w:val="nil"/>
              <w:left w:val="single" w:sz="8" w:space="0" w:color="45A7E1"/>
              <w:bottom w:val="single" w:sz="8" w:space="0" w:color="45A7E1"/>
              <w:right w:val="single" w:sz="8" w:space="0" w:color="45A7E1"/>
            </w:tcBorders>
            <w:shd w:val="clear" w:color="000000" w:fill="DBE4ED"/>
            <w:noWrap/>
            <w:vAlign w:val="center"/>
            <w:hideMark/>
          </w:tcPr>
          <w:p w14:paraId="53B345BF" w14:textId="77777777" w:rsidR="00465FB4" w:rsidRPr="003506E5" w:rsidRDefault="00465FB4" w:rsidP="00465FB4">
            <w:pPr>
              <w:spacing w:after="0" w:line="240" w:lineRule="auto"/>
              <w:rPr>
                <w:rFonts w:eastAsia="Times New Roman"/>
                <w:b/>
                <w:bCs/>
                <w:color w:val="000000"/>
                <w:sz w:val="20"/>
                <w:szCs w:val="20"/>
              </w:rPr>
            </w:pPr>
            <w:r w:rsidRPr="003506E5">
              <w:rPr>
                <w:rFonts w:eastAsia="Times New Roman"/>
                <w:b/>
                <w:bCs/>
                <w:color w:val="000000"/>
                <w:sz w:val="20"/>
                <w:szCs w:val="20"/>
              </w:rPr>
              <w:t>GMC</w:t>
            </w:r>
          </w:p>
        </w:tc>
        <w:tc>
          <w:tcPr>
            <w:tcW w:w="1151" w:type="dxa"/>
            <w:tcBorders>
              <w:top w:val="nil"/>
              <w:left w:val="nil"/>
              <w:bottom w:val="single" w:sz="8" w:space="0" w:color="45A7E1"/>
              <w:right w:val="single" w:sz="8" w:space="0" w:color="45A7E1"/>
            </w:tcBorders>
            <w:shd w:val="clear" w:color="000000" w:fill="DBE4ED"/>
            <w:vAlign w:val="center"/>
            <w:hideMark/>
          </w:tcPr>
          <w:p w14:paraId="1F8789DA" w14:textId="77777777" w:rsidR="00465FB4" w:rsidRPr="003506E5" w:rsidRDefault="00465FB4" w:rsidP="00465FB4">
            <w:pPr>
              <w:spacing w:after="0" w:line="240" w:lineRule="auto"/>
              <w:jc w:val="center"/>
              <w:rPr>
                <w:rFonts w:eastAsia="Times New Roman"/>
                <w:color w:val="000000"/>
                <w:sz w:val="20"/>
                <w:szCs w:val="20"/>
              </w:rPr>
            </w:pPr>
            <w:r w:rsidRPr="003506E5">
              <w:rPr>
                <w:rFonts w:eastAsia="Times New Roman"/>
                <w:color w:val="000000"/>
                <w:sz w:val="20"/>
                <w:szCs w:val="20"/>
              </w:rPr>
              <w:t>8</w:t>
            </w:r>
          </w:p>
        </w:tc>
        <w:tc>
          <w:tcPr>
            <w:tcW w:w="1151" w:type="dxa"/>
            <w:tcBorders>
              <w:top w:val="nil"/>
              <w:left w:val="nil"/>
              <w:bottom w:val="single" w:sz="8" w:space="0" w:color="45A7E1"/>
              <w:right w:val="single" w:sz="8" w:space="0" w:color="45A7E1"/>
            </w:tcBorders>
            <w:shd w:val="clear" w:color="000000" w:fill="DBE4ED"/>
            <w:vAlign w:val="center"/>
            <w:hideMark/>
          </w:tcPr>
          <w:p w14:paraId="2DC04564" w14:textId="77777777" w:rsidR="00465FB4" w:rsidRPr="003506E5" w:rsidRDefault="00465FB4" w:rsidP="00465FB4">
            <w:pPr>
              <w:spacing w:after="0" w:line="240" w:lineRule="auto"/>
              <w:jc w:val="center"/>
              <w:rPr>
                <w:rFonts w:eastAsia="Times New Roman"/>
                <w:color w:val="000000"/>
                <w:sz w:val="20"/>
                <w:szCs w:val="20"/>
              </w:rPr>
            </w:pPr>
            <w:r w:rsidRPr="003506E5">
              <w:rPr>
                <w:rFonts w:eastAsia="Times New Roman"/>
                <w:color w:val="000000"/>
                <w:sz w:val="20"/>
                <w:szCs w:val="20"/>
              </w:rPr>
              <w:t>315</w:t>
            </w:r>
          </w:p>
        </w:tc>
        <w:tc>
          <w:tcPr>
            <w:tcW w:w="1151" w:type="dxa"/>
            <w:tcBorders>
              <w:top w:val="nil"/>
              <w:left w:val="nil"/>
              <w:bottom w:val="single" w:sz="8" w:space="0" w:color="45A7E1"/>
              <w:right w:val="single" w:sz="8" w:space="0" w:color="45A7E1"/>
            </w:tcBorders>
            <w:shd w:val="clear" w:color="000000" w:fill="DBE4ED"/>
            <w:vAlign w:val="center"/>
            <w:hideMark/>
          </w:tcPr>
          <w:p w14:paraId="4432D4F6" w14:textId="77777777" w:rsidR="00465FB4" w:rsidRPr="003506E5" w:rsidRDefault="00465FB4" w:rsidP="00465FB4">
            <w:pPr>
              <w:spacing w:after="0" w:line="240" w:lineRule="auto"/>
              <w:jc w:val="center"/>
              <w:rPr>
                <w:rFonts w:eastAsia="Times New Roman"/>
                <w:color w:val="000000"/>
                <w:sz w:val="20"/>
                <w:szCs w:val="20"/>
              </w:rPr>
            </w:pPr>
            <w:r w:rsidRPr="003506E5">
              <w:rPr>
                <w:rFonts w:eastAsia="Times New Roman"/>
                <w:color w:val="000000"/>
                <w:sz w:val="20"/>
                <w:szCs w:val="20"/>
              </w:rPr>
              <w:t>323</w:t>
            </w:r>
          </w:p>
        </w:tc>
        <w:tc>
          <w:tcPr>
            <w:tcW w:w="1314" w:type="dxa"/>
            <w:tcBorders>
              <w:top w:val="nil"/>
              <w:left w:val="nil"/>
              <w:bottom w:val="single" w:sz="8" w:space="0" w:color="45A7E1"/>
              <w:right w:val="single" w:sz="8" w:space="0" w:color="45A7E1"/>
            </w:tcBorders>
            <w:shd w:val="clear" w:color="000000" w:fill="DBE4ED"/>
            <w:vAlign w:val="center"/>
            <w:hideMark/>
          </w:tcPr>
          <w:p w14:paraId="6D20ADB7" w14:textId="4EEEC15C" w:rsidR="00465FB4" w:rsidRPr="003506E5" w:rsidRDefault="00465FB4" w:rsidP="00271528">
            <w:pPr>
              <w:spacing w:after="0" w:line="240" w:lineRule="auto"/>
              <w:jc w:val="center"/>
              <w:rPr>
                <w:rFonts w:eastAsia="Times New Roman"/>
                <w:color w:val="000000"/>
                <w:sz w:val="20"/>
                <w:szCs w:val="20"/>
              </w:rPr>
            </w:pPr>
            <w:r w:rsidRPr="003506E5">
              <w:rPr>
                <w:rFonts w:eastAsia="Times New Roman"/>
                <w:color w:val="000000"/>
                <w:sz w:val="20"/>
                <w:szCs w:val="20"/>
              </w:rPr>
              <w:t>59.7%</w:t>
            </w:r>
          </w:p>
        </w:tc>
      </w:tr>
      <w:tr w:rsidR="00465FB4" w:rsidRPr="003506E5" w14:paraId="4A650F98" w14:textId="77777777" w:rsidTr="003C76B8">
        <w:trPr>
          <w:trHeight w:val="187"/>
        </w:trPr>
        <w:tc>
          <w:tcPr>
            <w:tcW w:w="2783" w:type="dxa"/>
            <w:tcBorders>
              <w:top w:val="nil"/>
              <w:left w:val="single" w:sz="8" w:space="0" w:color="45A7E1"/>
              <w:bottom w:val="single" w:sz="8" w:space="0" w:color="45A7E1"/>
              <w:right w:val="single" w:sz="8" w:space="0" w:color="45A7E1"/>
            </w:tcBorders>
            <w:shd w:val="clear" w:color="000000" w:fill="DBE4ED"/>
            <w:noWrap/>
            <w:vAlign w:val="center"/>
            <w:hideMark/>
          </w:tcPr>
          <w:p w14:paraId="5AC63651" w14:textId="77777777" w:rsidR="00465FB4" w:rsidRPr="003506E5" w:rsidRDefault="00465FB4" w:rsidP="00465FB4">
            <w:pPr>
              <w:spacing w:after="0" w:line="240" w:lineRule="auto"/>
              <w:rPr>
                <w:rFonts w:eastAsia="Times New Roman"/>
                <w:b/>
                <w:bCs/>
                <w:color w:val="000000"/>
                <w:sz w:val="20"/>
                <w:szCs w:val="20"/>
              </w:rPr>
            </w:pPr>
            <w:r w:rsidRPr="003506E5">
              <w:rPr>
                <w:rFonts w:eastAsia="Times New Roman"/>
                <w:b/>
                <w:bCs/>
                <w:color w:val="000000"/>
                <w:sz w:val="20"/>
                <w:szCs w:val="20"/>
              </w:rPr>
              <w:t xml:space="preserve">City Hospital </w:t>
            </w:r>
          </w:p>
        </w:tc>
        <w:tc>
          <w:tcPr>
            <w:tcW w:w="1151" w:type="dxa"/>
            <w:tcBorders>
              <w:top w:val="nil"/>
              <w:left w:val="nil"/>
              <w:bottom w:val="single" w:sz="8" w:space="0" w:color="45A7E1"/>
              <w:right w:val="single" w:sz="8" w:space="0" w:color="45A7E1"/>
            </w:tcBorders>
            <w:shd w:val="clear" w:color="000000" w:fill="DBE4ED"/>
            <w:noWrap/>
            <w:vAlign w:val="center"/>
            <w:hideMark/>
          </w:tcPr>
          <w:p w14:paraId="011EA6E2" w14:textId="77777777" w:rsidR="00465FB4" w:rsidRPr="003506E5" w:rsidRDefault="00465FB4" w:rsidP="00465FB4">
            <w:pPr>
              <w:spacing w:after="0" w:line="240" w:lineRule="auto"/>
              <w:jc w:val="center"/>
              <w:rPr>
                <w:rFonts w:eastAsia="Times New Roman"/>
                <w:color w:val="000000"/>
                <w:sz w:val="20"/>
                <w:szCs w:val="20"/>
              </w:rPr>
            </w:pPr>
            <w:r w:rsidRPr="003506E5">
              <w:rPr>
                <w:rFonts w:eastAsia="Times New Roman"/>
                <w:color w:val="000000"/>
                <w:sz w:val="20"/>
                <w:szCs w:val="20"/>
              </w:rPr>
              <w:t>100</w:t>
            </w:r>
          </w:p>
        </w:tc>
        <w:tc>
          <w:tcPr>
            <w:tcW w:w="1151" w:type="dxa"/>
            <w:tcBorders>
              <w:top w:val="nil"/>
              <w:left w:val="nil"/>
              <w:bottom w:val="single" w:sz="8" w:space="0" w:color="45A7E1"/>
              <w:right w:val="single" w:sz="8" w:space="0" w:color="45A7E1"/>
            </w:tcBorders>
            <w:shd w:val="clear" w:color="auto" w:fill="DAE4EC" w:themeFill="background2"/>
            <w:noWrap/>
            <w:vAlign w:val="center"/>
            <w:hideMark/>
          </w:tcPr>
          <w:p w14:paraId="0FF4DD55" w14:textId="77777777" w:rsidR="00465FB4" w:rsidRPr="003506E5" w:rsidRDefault="00465FB4" w:rsidP="00465FB4">
            <w:pPr>
              <w:spacing w:after="0" w:line="240" w:lineRule="auto"/>
              <w:jc w:val="center"/>
              <w:rPr>
                <w:rFonts w:eastAsia="Times New Roman"/>
                <w:color w:val="000000"/>
                <w:sz w:val="20"/>
                <w:szCs w:val="20"/>
              </w:rPr>
            </w:pPr>
            <w:r w:rsidRPr="003506E5">
              <w:rPr>
                <w:rFonts w:eastAsia="Times New Roman"/>
                <w:color w:val="000000"/>
                <w:sz w:val="20"/>
                <w:szCs w:val="20"/>
              </w:rPr>
              <w:t>7</w:t>
            </w:r>
          </w:p>
        </w:tc>
        <w:tc>
          <w:tcPr>
            <w:tcW w:w="1151" w:type="dxa"/>
            <w:tcBorders>
              <w:top w:val="nil"/>
              <w:left w:val="nil"/>
              <w:bottom w:val="single" w:sz="8" w:space="0" w:color="45A7E1"/>
              <w:right w:val="single" w:sz="8" w:space="0" w:color="45A7E1"/>
            </w:tcBorders>
            <w:shd w:val="clear" w:color="000000" w:fill="DBE4ED"/>
            <w:vAlign w:val="center"/>
            <w:hideMark/>
          </w:tcPr>
          <w:p w14:paraId="3FDBC652" w14:textId="77777777" w:rsidR="00465FB4" w:rsidRPr="003506E5" w:rsidRDefault="00465FB4" w:rsidP="00465FB4">
            <w:pPr>
              <w:spacing w:after="0" w:line="240" w:lineRule="auto"/>
              <w:jc w:val="center"/>
              <w:rPr>
                <w:rFonts w:eastAsia="Times New Roman"/>
                <w:color w:val="000000"/>
                <w:sz w:val="20"/>
                <w:szCs w:val="20"/>
              </w:rPr>
            </w:pPr>
            <w:r w:rsidRPr="003506E5">
              <w:rPr>
                <w:rFonts w:eastAsia="Times New Roman"/>
                <w:color w:val="000000"/>
                <w:sz w:val="20"/>
                <w:szCs w:val="20"/>
              </w:rPr>
              <w:t>107</w:t>
            </w:r>
          </w:p>
        </w:tc>
        <w:tc>
          <w:tcPr>
            <w:tcW w:w="1314" w:type="dxa"/>
            <w:tcBorders>
              <w:top w:val="nil"/>
              <w:left w:val="nil"/>
              <w:bottom w:val="single" w:sz="8" w:space="0" w:color="45A7E1"/>
              <w:right w:val="single" w:sz="8" w:space="0" w:color="45A7E1"/>
            </w:tcBorders>
            <w:shd w:val="clear" w:color="000000" w:fill="DBE4ED"/>
            <w:vAlign w:val="center"/>
            <w:hideMark/>
          </w:tcPr>
          <w:p w14:paraId="6D53FEDB" w14:textId="145EC365" w:rsidR="00465FB4" w:rsidRPr="003506E5" w:rsidRDefault="00465FB4" w:rsidP="00271528">
            <w:pPr>
              <w:spacing w:after="0" w:line="240" w:lineRule="auto"/>
              <w:jc w:val="center"/>
              <w:rPr>
                <w:rFonts w:eastAsia="Times New Roman"/>
                <w:color w:val="000000"/>
                <w:sz w:val="20"/>
                <w:szCs w:val="20"/>
              </w:rPr>
            </w:pPr>
            <w:r w:rsidRPr="003506E5">
              <w:rPr>
                <w:rFonts w:eastAsia="Times New Roman"/>
                <w:color w:val="000000"/>
                <w:sz w:val="20"/>
                <w:szCs w:val="20"/>
              </w:rPr>
              <w:t>19.8%</w:t>
            </w:r>
          </w:p>
        </w:tc>
      </w:tr>
      <w:tr w:rsidR="00465FB4" w:rsidRPr="003506E5" w14:paraId="668FC906" w14:textId="77777777" w:rsidTr="00271528">
        <w:trPr>
          <w:trHeight w:val="187"/>
        </w:trPr>
        <w:tc>
          <w:tcPr>
            <w:tcW w:w="2783" w:type="dxa"/>
            <w:tcBorders>
              <w:top w:val="nil"/>
              <w:left w:val="single" w:sz="8" w:space="0" w:color="45A7E1"/>
              <w:bottom w:val="single" w:sz="8" w:space="0" w:color="45A7E1"/>
              <w:right w:val="single" w:sz="8" w:space="0" w:color="45A7E1"/>
            </w:tcBorders>
            <w:shd w:val="clear" w:color="000000" w:fill="DBE4ED"/>
            <w:noWrap/>
            <w:vAlign w:val="center"/>
            <w:hideMark/>
          </w:tcPr>
          <w:p w14:paraId="221413C3" w14:textId="77777777" w:rsidR="00465FB4" w:rsidRPr="003506E5" w:rsidRDefault="00465FB4" w:rsidP="00465FB4">
            <w:pPr>
              <w:spacing w:after="0" w:line="240" w:lineRule="auto"/>
              <w:rPr>
                <w:rFonts w:eastAsia="Times New Roman"/>
                <w:b/>
                <w:bCs/>
                <w:color w:val="000000"/>
                <w:sz w:val="20"/>
                <w:szCs w:val="20"/>
              </w:rPr>
            </w:pPr>
            <w:r w:rsidRPr="003506E5">
              <w:rPr>
                <w:rFonts w:eastAsia="Times New Roman"/>
                <w:b/>
                <w:bCs/>
                <w:color w:val="000000"/>
                <w:sz w:val="20"/>
                <w:szCs w:val="20"/>
              </w:rPr>
              <w:t>DHQ Hospital</w:t>
            </w:r>
          </w:p>
        </w:tc>
        <w:tc>
          <w:tcPr>
            <w:tcW w:w="1151" w:type="dxa"/>
            <w:tcBorders>
              <w:top w:val="nil"/>
              <w:left w:val="nil"/>
              <w:bottom w:val="single" w:sz="8" w:space="0" w:color="45A7E1"/>
              <w:right w:val="single" w:sz="8" w:space="0" w:color="45A7E1"/>
            </w:tcBorders>
            <w:shd w:val="clear" w:color="000000" w:fill="DBE4ED"/>
            <w:noWrap/>
            <w:vAlign w:val="center"/>
            <w:hideMark/>
          </w:tcPr>
          <w:p w14:paraId="7746D5A3" w14:textId="77777777" w:rsidR="00465FB4" w:rsidRPr="003506E5" w:rsidRDefault="00465FB4" w:rsidP="00465FB4">
            <w:pPr>
              <w:spacing w:after="0" w:line="240" w:lineRule="auto"/>
              <w:jc w:val="center"/>
              <w:rPr>
                <w:rFonts w:eastAsia="Times New Roman"/>
                <w:color w:val="000000"/>
                <w:sz w:val="20"/>
                <w:szCs w:val="20"/>
              </w:rPr>
            </w:pPr>
            <w:r w:rsidRPr="003506E5">
              <w:rPr>
                <w:rFonts w:eastAsia="Times New Roman"/>
                <w:color w:val="000000"/>
                <w:sz w:val="20"/>
                <w:szCs w:val="20"/>
              </w:rPr>
              <w:t>76</w:t>
            </w:r>
          </w:p>
        </w:tc>
        <w:tc>
          <w:tcPr>
            <w:tcW w:w="1151" w:type="dxa"/>
            <w:tcBorders>
              <w:top w:val="nil"/>
              <w:left w:val="nil"/>
              <w:bottom w:val="single" w:sz="8" w:space="0" w:color="45A7E1"/>
              <w:right w:val="single" w:sz="8" w:space="0" w:color="45A7E1"/>
            </w:tcBorders>
            <w:shd w:val="clear" w:color="000000" w:fill="DBE4ED"/>
            <w:noWrap/>
            <w:vAlign w:val="center"/>
            <w:hideMark/>
          </w:tcPr>
          <w:p w14:paraId="737EB816" w14:textId="77777777" w:rsidR="00465FB4" w:rsidRPr="003506E5" w:rsidRDefault="00465FB4" w:rsidP="00465FB4">
            <w:pPr>
              <w:spacing w:after="0" w:line="240" w:lineRule="auto"/>
              <w:jc w:val="center"/>
              <w:rPr>
                <w:rFonts w:eastAsia="Times New Roman"/>
                <w:color w:val="000000"/>
                <w:sz w:val="20"/>
                <w:szCs w:val="20"/>
              </w:rPr>
            </w:pPr>
            <w:r w:rsidRPr="003506E5">
              <w:rPr>
                <w:rFonts w:eastAsia="Times New Roman"/>
                <w:color w:val="000000"/>
                <w:sz w:val="20"/>
                <w:szCs w:val="20"/>
              </w:rPr>
              <w:t>10</w:t>
            </w:r>
          </w:p>
        </w:tc>
        <w:tc>
          <w:tcPr>
            <w:tcW w:w="1151" w:type="dxa"/>
            <w:tcBorders>
              <w:top w:val="nil"/>
              <w:left w:val="nil"/>
              <w:bottom w:val="single" w:sz="8" w:space="0" w:color="45A7E1"/>
              <w:right w:val="single" w:sz="8" w:space="0" w:color="45A7E1"/>
            </w:tcBorders>
            <w:shd w:val="clear" w:color="000000" w:fill="DBE4ED"/>
            <w:vAlign w:val="center"/>
            <w:hideMark/>
          </w:tcPr>
          <w:p w14:paraId="5F691728" w14:textId="77777777" w:rsidR="00465FB4" w:rsidRPr="003506E5" w:rsidRDefault="00465FB4" w:rsidP="00465FB4">
            <w:pPr>
              <w:spacing w:after="0" w:line="240" w:lineRule="auto"/>
              <w:jc w:val="center"/>
              <w:rPr>
                <w:rFonts w:eastAsia="Times New Roman"/>
                <w:color w:val="000000"/>
                <w:sz w:val="20"/>
                <w:szCs w:val="20"/>
              </w:rPr>
            </w:pPr>
            <w:r w:rsidRPr="003506E5">
              <w:rPr>
                <w:rFonts w:eastAsia="Times New Roman"/>
                <w:color w:val="000000"/>
                <w:sz w:val="20"/>
                <w:szCs w:val="20"/>
              </w:rPr>
              <w:t>86</w:t>
            </w:r>
          </w:p>
        </w:tc>
        <w:tc>
          <w:tcPr>
            <w:tcW w:w="1314" w:type="dxa"/>
            <w:tcBorders>
              <w:top w:val="nil"/>
              <w:left w:val="nil"/>
              <w:bottom w:val="single" w:sz="8" w:space="0" w:color="45A7E1"/>
              <w:right w:val="single" w:sz="8" w:space="0" w:color="45A7E1"/>
            </w:tcBorders>
            <w:shd w:val="clear" w:color="000000" w:fill="DBE4ED"/>
            <w:vAlign w:val="center"/>
            <w:hideMark/>
          </w:tcPr>
          <w:p w14:paraId="5DAA3A69" w14:textId="14BD6C67" w:rsidR="00465FB4" w:rsidRPr="003506E5" w:rsidRDefault="00465FB4" w:rsidP="00271528">
            <w:pPr>
              <w:spacing w:after="0" w:line="240" w:lineRule="auto"/>
              <w:jc w:val="center"/>
              <w:rPr>
                <w:rFonts w:eastAsia="Times New Roman"/>
                <w:color w:val="000000"/>
                <w:sz w:val="20"/>
                <w:szCs w:val="20"/>
              </w:rPr>
            </w:pPr>
            <w:r w:rsidRPr="003506E5">
              <w:rPr>
                <w:rFonts w:eastAsia="Times New Roman"/>
                <w:color w:val="000000"/>
                <w:sz w:val="20"/>
                <w:szCs w:val="20"/>
              </w:rPr>
              <w:t>15.9%</w:t>
            </w:r>
          </w:p>
        </w:tc>
      </w:tr>
      <w:tr w:rsidR="00465FB4" w:rsidRPr="003506E5" w14:paraId="050233F9" w14:textId="77777777" w:rsidTr="00271528">
        <w:trPr>
          <w:trHeight w:val="187"/>
        </w:trPr>
        <w:tc>
          <w:tcPr>
            <w:tcW w:w="2783" w:type="dxa"/>
            <w:tcBorders>
              <w:top w:val="nil"/>
              <w:left w:val="single" w:sz="8" w:space="0" w:color="45A7E1"/>
              <w:bottom w:val="single" w:sz="8" w:space="0" w:color="45A7E1"/>
              <w:right w:val="single" w:sz="8" w:space="0" w:color="45A7E1"/>
            </w:tcBorders>
            <w:shd w:val="clear" w:color="000000" w:fill="DBE4ED"/>
            <w:noWrap/>
            <w:vAlign w:val="center"/>
            <w:hideMark/>
          </w:tcPr>
          <w:p w14:paraId="351FE730" w14:textId="77777777" w:rsidR="00465FB4" w:rsidRPr="003506E5" w:rsidRDefault="00465FB4" w:rsidP="00465FB4">
            <w:pPr>
              <w:spacing w:after="0" w:line="240" w:lineRule="auto"/>
              <w:rPr>
                <w:rFonts w:eastAsia="Times New Roman"/>
                <w:b/>
                <w:bCs/>
                <w:color w:val="000000"/>
                <w:sz w:val="20"/>
                <w:szCs w:val="20"/>
              </w:rPr>
            </w:pPr>
            <w:r w:rsidRPr="003506E5">
              <w:rPr>
                <w:rFonts w:eastAsia="Times New Roman"/>
                <w:b/>
                <w:bCs/>
                <w:color w:val="000000"/>
                <w:sz w:val="20"/>
                <w:szCs w:val="20"/>
              </w:rPr>
              <w:t>Sehat Foundation</w:t>
            </w:r>
          </w:p>
        </w:tc>
        <w:tc>
          <w:tcPr>
            <w:tcW w:w="1151" w:type="dxa"/>
            <w:tcBorders>
              <w:top w:val="nil"/>
              <w:left w:val="nil"/>
              <w:bottom w:val="single" w:sz="8" w:space="0" w:color="45A7E1"/>
              <w:right w:val="single" w:sz="8" w:space="0" w:color="45A7E1"/>
            </w:tcBorders>
            <w:shd w:val="clear" w:color="000000" w:fill="DBE4ED"/>
            <w:vAlign w:val="center"/>
            <w:hideMark/>
          </w:tcPr>
          <w:p w14:paraId="23F4E785" w14:textId="77777777" w:rsidR="00465FB4" w:rsidRPr="003506E5" w:rsidRDefault="00465FB4" w:rsidP="00465FB4">
            <w:pPr>
              <w:spacing w:after="0" w:line="240" w:lineRule="auto"/>
              <w:jc w:val="center"/>
              <w:rPr>
                <w:rFonts w:eastAsia="Times New Roman"/>
                <w:color w:val="000000"/>
                <w:sz w:val="20"/>
                <w:szCs w:val="20"/>
              </w:rPr>
            </w:pPr>
            <w:r w:rsidRPr="003506E5">
              <w:rPr>
                <w:rFonts w:eastAsia="Times New Roman"/>
                <w:color w:val="000000"/>
                <w:sz w:val="20"/>
                <w:szCs w:val="20"/>
              </w:rPr>
              <w:t>4</w:t>
            </w:r>
          </w:p>
        </w:tc>
        <w:tc>
          <w:tcPr>
            <w:tcW w:w="1151" w:type="dxa"/>
            <w:tcBorders>
              <w:top w:val="nil"/>
              <w:left w:val="nil"/>
              <w:bottom w:val="single" w:sz="8" w:space="0" w:color="45A7E1"/>
              <w:right w:val="single" w:sz="8" w:space="0" w:color="45A7E1"/>
            </w:tcBorders>
            <w:shd w:val="clear" w:color="000000" w:fill="DBE4ED"/>
            <w:vAlign w:val="center"/>
            <w:hideMark/>
          </w:tcPr>
          <w:p w14:paraId="05628CF2" w14:textId="77777777" w:rsidR="00465FB4" w:rsidRPr="003506E5" w:rsidRDefault="00465FB4" w:rsidP="00465FB4">
            <w:pPr>
              <w:spacing w:after="0" w:line="240" w:lineRule="auto"/>
              <w:jc w:val="center"/>
              <w:rPr>
                <w:rFonts w:eastAsia="Times New Roman"/>
                <w:color w:val="000000"/>
                <w:sz w:val="20"/>
                <w:szCs w:val="20"/>
              </w:rPr>
            </w:pPr>
            <w:r w:rsidRPr="003506E5">
              <w:rPr>
                <w:rFonts w:eastAsia="Times New Roman"/>
                <w:color w:val="000000"/>
                <w:sz w:val="20"/>
                <w:szCs w:val="20"/>
              </w:rPr>
              <w:t>2</w:t>
            </w:r>
          </w:p>
        </w:tc>
        <w:tc>
          <w:tcPr>
            <w:tcW w:w="1151" w:type="dxa"/>
            <w:tcBorders>
              <w:top w:val="nil"/>
              <w:left w:val="nil"/>
              <w:bottom w:val="single" w:sz="8" w:space="0" w:color="45A7E1"/>
              <w:right w:val="single" w:sz="8" w:space="0" w:color="45A7E1"/>
            </w:tcBorders>
            <w:shd w:val="clear" w:color="000000" w:fill="DBE4ED"/>
            <w:vAlign w:val="center"/>
            <w:hideMark/>
          </w:tcPr>
          <w:p w14:paraId="30C5D929" w14:textId="77777777" w:rsidR="00465FB4" w:rsidRPr="003506E5" w:rsidRDefault="00465FB4" w:rsidP="00465FB4">
            <w:pPr>
              <w:spacing w:after="0" w:line="240" w:lineRule="auto"/>
              <w:jc w:val="center"/>
              <w:rPr>
                <w:rFonts w:eastAsia="Times New Roman"/>
                <w:color w:val="000000"/>
                <w:sz w:val="20"/>
                <w:szCs w:val="20"/>
              </w:rPr>
            </w:pPr>
            <w:r w:rsidRPr="003506E5">
              <w:rPr>
                <w:rFonts w:eastAsia="Times New Roman"/>
                <w:color w:val="000000"/>
                <w:sz w:val="20"/>
                <w:szCs w:val="20"/>
              </w:rPr>
              <w:t>6</w:t>
            </w:r>
          </w:p>
        </w:tc>
        <w:tc>
          <w:tcPr>
            <w:tcW w:w="1314" w:type="dxa"/>
            <w:tcBorders>
              <w:top w:val="nil"/>
              <w:left w:val="nil"/>
              <w:bottom w:val="single" w:sz="8" w:space="0" w:color="45A7E1"/>
              <w:right w:val="single" w:sz="8" w:space="0" w:color="45A7E1"/>
            </w:tcBorders>
            <w:shd w:val="clear" w:color="000000" w:fill="DBE4ED"/>
            <w:vAlign w:val="center"/>
            <w:hideMark/>
          </w:tcPr>
          <w:p w14:paraId="3128CB0B" w14:textId="08A2D2E1" w:rsidR="00465FB4" w:rsidRPr="003506E5" w:rsidRDefault="00465FB4" w:rsidP="00465FB4">
            <w:pPr>
              <w:spacing w:after="0" w:line="240" w:lineRule="auto"/>
              <w:jc w:val="center"/>
              <w:rPr>
                <w:rFonts w:eastAsia="Times New Roman"/>
                <w:color w:val="000000"/>
                <w:sz w:val="20"/>
                <w:szCs w:val="20"/>
              </w:rPr>
            </w:pPr>
            <w:r w:rsidRPr="003506E5">
              <w:rPr>
                <w:rFonts w:eastAsia="Times New Roman"/>
                <w:color w:val="000000"/>
                <w:sz w:val="20"/>
                <w:szCs w:val="20"/>
              </w:rPr>
              <w:t>1</w:t>
            </w:r>
            <w:r w:rsidR="00271528">
              <w:rPr>
                <w:rFonts w:eastAsia="Times New Roman"/>
                <w:color w:val="000000"/>
                <w:sz w:val="20"/>
                <w:szCs w:val="20"/>
              </w:rPr>
              <w:t>.1</w:t>
            </w:r>
            <w:r w:rsidRPr="003506E5">
              <w:rPr>
                <w:rFonts w:eastAsia="Times New Roman"/>
                <w:color w:val="000000"/>
                <w:sz w:val="20"/>
                <w:szCs w:val="20"/>
              </w:rPr>
              <w:t>%</w:t>
            </w:r>
          </w:p>
        </w:tc>
      </w:tr>
      <w:tr w:rsidR="00465FB4" w:rsidRPr="003506E5" w14:paraId="728634BF" w14:textId="77777777" w:rsidTr="00271528">
        <w:trPr>
          <w:trHeight w:val="187"/>
        </w:trPr>
        <w:tc>
          <w:tcPr>
            <w:tcW w:w="2783" w:type="dxa"/>
            <w:tcBorders>
              <w:top w:val="nil"/>
              <w:left w:val="single" w:sz="8" w:space="0" w:color="45A7E1"/>
              <w:bottom w:val="single" w:sz="8" w:space="0" w:color="45A7E1"/>
              <w:right w:val="single" w:sz="8" w:space="0" w:color="45A7E1"/>
            </w:tcBorders>
            <w:shd w:val="clear" w:color="000000" w:fill="DBE4ED"/>
            <w:noWrap/>
            <w:vAlign w:val="center"/>
            <w:hideMark/>
          </w:tcPr>
          <w:p w14:paraId="40909C2B" w14:textId="77777777" w:rsidR="00465FB4" w:rsidRPr="003506E5" w:rsidRDefault="00465FB4" w:rsidP="00465FB4">
            <w:pPr>
              <w:spacing w:after="0" w:line="240" w:lineRule="auto"/>
              <w:rPr>
                <w:rFonts w:eastAsia="Times New Roman"/>
                <w:b/>
                <w:bCs/>
                <w:color w:val="000000"/>
                <w:sz w:val="20"/>
                <w:szCs w:val="20"/>
              </w:rPr>
            </w:pPr>
            <w:r w:rsidRPr="003506E5">
              <w:rPr>
                <w:rFonts w:eastAsia="Times New Roman"/>
                <w:b/>
                <w:bCs/>
                <w:color w:val="000000"/>
                <w:sz w:val="20"/>
                <w:szCs w:val="20"/>
              </w:rPr>
              <w:t>FPAP</w:t>
            </w:r>
          </w:p>
        </w:tc>
        <w:tc>
          <w:tcPr>
            <w:tcW w:w="1151" w:type="dxa"/>
            <w:tcBorders>
              <w:top w:val="nil"/>
              <w:left w:val="nil"/>
              <w:bottom w:val="single" w:sz="8" w:space="0" w:color="45A7E1"/>
              <w:right w:val="single" w:sz="8" w:space="0" w:color="45A7E1"/>
            </w:tcBorders>
            <w:shd w:val="clear" w:color="000000" w:fill="DBE4ED"/>
            <w:vAlign w:val="center"/>
            <w:hideMark/>
          </w:tcPr>
          <w:p w14:paraId="06C3E6C1" w14:textId="77777777" w:rsidR="00465FB4" w:rsidRPr="003506E5" w:rsidRDefault="00465FB4" w:rsidP="00465FB4">
            <w:pPr>
              <w:spacing w:after="0" w:line="240" w:lineRule="auto"/>
              <w:jc w:val="center"/>
              <w:rPr>
                <w:rFonts w:eastAsia="Times New Roman"/>
                <w:color w:val="000000"/>
                <w:sz w:val="20"/>
                <w:szCs w:val="20"/>
              </w:rPr>
            </w:pPr>
            <w:r w:rsidRPr="003506E5">
              <w:rPr>
                <w:rFonts w:eastAsia="Times New Roman"/>
                <w:color w:val="000000"/>
                <w:sz w:val="20"/>
                <w:szCs w:val="20"/>
              </w:rPr>
              <w:t>1</w:t>
            </w:r>
          </w:p>
        </w:tc>
        <w:tc>
          <w:tcPr>
            <w:tcW w:w="1151" w:type="dxa"/>
            <w:tcBorders>
              <w:top w:val="nil"/>
              <w:left w:val="nil"/>
              <w:bottom w:val="single" w:sz="8" w:space="0" w:color="45A7E1"/>
              <w:right w:val="single" w:sz="8" w:space="0" w:color="45A7E1"/>
            </w:tcBorders>
            <w:shd w:val="clear" w:color="000000" w:fill="DBE4ED"/>
            <w:vAlign w:val="center"/>
            <w:hideMark/>
          </w:tcPr>
          <w:p w14:paraId="24783861" w14:textId="77777777" w:rsidR="00465FB4" w:rsidRPr="003506E5" w:rsidRDefault="00465FB4" w:rsidP="00465FB4">
            <w:pPr>
              <w:spacing w:after="0" w:line="240" w:lineRule="auto"/>
              <w:jc w:val="center"/>
              <w:rPr>
                <w:rFonts w:eastAsia="Times New Roman"/>
                <w:color w:val="000000"/>
                <w:sz w:val="20"/>
                <w:szCs w:val="20"/>
              </w:rPr>
            </w:pPr>
            <w:r w:rsidRPr="003506E5">
              <w:rPr>
                <w:rFonts w:eastAsia="Times New Roman"/>
                <w:color w:val="000000"/>
                <w:sz w:val="20"/>
                <w:szCs w:val="20"/>
              </w:rPr>
              <w:t>16</w:t>
            </w:r>
          </w:p>
        </w:tc>
        <w:tc>
          <w:tcPr>
            <w:tcW w:w="1151" w:type="dxa"/>
            <w:tcBorders>
              <w:top w:val="nil"/>
              <w:left w:val="nil"/>
              <w:bottom w:val="single" w:sz="8" w:space="0" w:color="45A7E1"/>
              <w:right w:val="single" w:sz="8" w:space="0" w:color="45A7E1"/>
            </w:tcBorders>
            <w:shd w:val="clear" w:color="000000" w:fill="DBE4ED"/>
            <w:vAlign w:val="center"/>
            <w:hideMark/>
          </w:tcPr>
          <w:p w14:paraId="3317B8E8" w14:textId="77777777" w:rsidR="00465FB4" w:rsidRPr="003506E5" w:rsidRDefault="00465FB4" w:rsidP="00465FB4">
            <w:pPr>
              <w:spacing w:after="0" w:line="240" w:lineRule="auto"/>
              <w:jc w:val="center"/>
              <w:rPr>
                <w:rFonts w:eastAsia="Times New Roman"/>
                <w:color w:val="000000"/>
                <w:sz w:val="20"/>
                <w:szCs w:val="20"/>
              </w:rPr>
            </w:pPr>
            <w:r w:rsidRPr="003506E5">
              <w:rPr>
                <w:rFonts w:eastAsia="Times New Roman"/>
                <w:color w:val="000000"/>
                <w:sz w:val="20"/>
                <w:szCs w:val="20"/>
              </w:rPr>
              <w:t>17</w:t>
            </w:r>
          </w:p>
        </w:tc>
        <w:tc>
          <w:tcPr>
            <w:tcW w:w="1314" w:type="dxa"/>
            <w:tcBorders>
              <w:top w:val="nil"/>
              <w:left w:val="nil"/>
              <w:bottom w:val="single" w:sz="8" w:space="0" w:color="45A7E1"/>
              <w:right w:val="single" w:sz="8" w:space="0" w:color="45A7E1"/>
            </w:tcBorders>
            <w:shd w:val="clear" w:color="000000" w:fill="DBE4ED"/>
            <w:vAlign w:val="center"/>
            <w:hideMark/>
          </w:tcPr>
          <w:p w14:paraId="301D63B0" w14:textId="023D7F07" w:rsidR="00465FB4" w:rsidRPr="003506E5" w:rsidRDefault="00465FB4" w:rsidP="00465FB4">
            <w:pPr>
              <w:spacing w:after="0" w:line="240" w:lineRule="auto"/>
              <w:jc w:val="center"/>
              <w:rPr>
                <w:rFonts w:eastAsia="Times New Roman"/>
                <w:color w:val="000000"/>
                <w:sz w:val="20"/>
                <w:szCs w:val="20"/>
              </w:rPr>
            </w:pPr>
            <w:r w:rsidRPr="003506E5">
              <w:rPr>
                <w:rFonts w:eastAsia="Times New Roman"/>
                <w:color w:val="000000"/>
                <w:sz w:val="20"/>
                <w:szCs w:val="20"/>
              </w:rPr>
              <w:t>3</w:t>
            </w:r>
            <w:r w:rsidR="00271528">
              <w:rPr>
                <w:rFonts w:eastAsia="Times New Roman"/>
                <w:color w:val="000000"/>
                <w:sz w:val="20"/>
                <w:szCs w:val="20"/>
              </w:rPr>
              <w:t>.1</w:t>
            </w:r>
            <w:r w:rsidRPr="003506E5">
              <w:rPr>
                <w:rFonts w:eastAsia="Times New Roman"/>
                <w:color w:val="000000"/>
                <w:sz w:val="20"/>
                <w:szCs w:val="20"/>
              </w:rPr>
              <w:t>%</w:t>
            </w:r>
          </w:p>
        </w:tc>
      </w:tr>
      <w:tr w:rsidR="00465FB4" w:rsidRPr="003506E5" w14:paraId="2C6BEF04" w14:textId="77777777" w:rsidTr="00271528">
        <w:trPr>
          <w:trHeight w:val="187"/>
        </w:trPr>
        <w:tc>
          <w:tcPr>
            <w:tcW w:w="2783" w:type="dxa"/>
            <w:tcBorders>
              <w:top w:val="nil"/>
              <w:left w:val="single" w:sz="8" w:space="0" w:color="45A7E1"/>
              <w:bottom w:val="single" w:sz="8" w:space="0" w:color="45A7E1"/>
              <w:right w:val="single" w:sz="8" w:space="0" w:color="45A7E1"/>
            </w:tcBorders>
            <w:shd w:val="clear" w:color="000000" w:fill="DBE4ED"/>
            <w:noWrap/>
            <w:vAlign w:val="center"/>
            <w:hideMark/>
          </w:tcPr>
          <w:p w14:paraId="21A26D1D" w14:textId="6F2561E8" w:rsidR="00465FB4" w:rsidRPr="003506E5" w:rsidRDefault="00465FB4" w:rsidP="00465FB4">
            <w:pPr>
              <w:spacing w:after="0" w:line="240" w:lineRule="auto"/>
              <w:rPr>
                <w:rFonts w:eastAsia="Times New Roman"/>
                <w:b/>
                <w:bCs/>
                <w:color w:val="000000"/>
                <w:sz w:val="20"/>
                <w:szCs w:val="20"/>
              </w:rPr>
            </w:pPr>
            <w:r w:rsidRPr="003506E5">
              <w:rPr>
                <w:rFonts w:eastAsia="Times New Roman"/>
                <w:b/>
                <w:bCs/>
                <w:color w:val="000000"/>
                <w:sz w:val="20"/>
                <w:szCs w:val="20"/>
              </w:rPr>
              <w:t>Other (CMH Gilgit)</w:t>
            </w:r>
          </w:p>
        </w:tc>
        <w:tc>
          <w:tcPr>
            <w:tcW w:w="1151" w:type="dxa"/>
            <w:tcBorders>
              <w:top w:val="nil"/>
              <w:left w:val="nil"/>
              <w:bottom w:val="single" w:sz="8" w:space="0" w:color="45A7E1"/>
              <w:right w:val="single" w:sz="8" w:space="0" w:color="45A7E1"/>
            </w:tcBorders>
            <w:shd w:val="clear" w:color="000000" w:fill="DBE4ED"/>
            <w:vAlign w:val="center"/>
            <w:hideMark/>
          </w:tcPr>
          <w:p w14:paraId="6F40B066" w14:textId="2258BE85" w:rsidR="00465FB4" w:rsidRPr="003506E5" w:rsidRDefault="00465FB4" w:rsidP="00465FB4">
            <w:pPr>
              <w:spacing w:after="0" w:line="240" w:lineRule="auto"/>
              <w:jc w:val="center"/>
              <w:rPr>
                <w:rFonts w:eastAsia="Times New Roman"/>
                <w:color w:val="000000"/>
                <w:sz w:val="20"/>
                <w:szCs w:val="20"/>
              </w:rPr>
            </w:pPr>
          </w:p>
        </w:tc>
        <w:tc>
          <w:tcPr>
            <w:tcW w:w="1151" w:type="dxa"/>
            <w:tcBorders>
              <w:top w:val="nil"/>
              <w:left w:val="nil"/>
              <w:bottom w:val="single" w:sz="8" w:space="0" w:color="45A7E1"/>
              <w:right w:val="single" w:sz="8" w:space="0" w:color="45A7E1"/>
            </w:tcBorders>
            <w:shd w:val="clear" w:color="000000" w:fill="DBE4ED"/>
            <w:vAlign w:val="center"/>
            <w:hideMark/>
          </w:tcPr>
          <w:p w14:paraId="1FBC221B" w14:textId="77777777" w:rsidR="00465FB4" w:rsidRPr="003506E5" w:rsidRDefault="00465FB4" w:rsidP="00465FB4">
            <w:pPr>
              <w:spacing w:after="0" w:line="240" w:lineRule="auto"/>
              <w:jc w:val="center"/>
              <w:rPr>
                <w:rFonts w:eastAsia="Times New Roman"/>
                <w:color w:val="000000"/>
                <w:sz w:val="20"/>
                <w:szCs w:val="20"/>
              </w:rPr>
            </w:pPr>
            <w:r w:rsidRPr="003506E5">
              <w:rPr>
                <w:rFonts w:eastAsia="Times New Roman"/>
                <w:color w:val="000000"/>
                <w:sz w:val="20"/>
                <w:szCs w:val="20"/>
              </w:rPr>
              <w:t>2</w:t>
            </w:r>
          </w:p>
        </w:tc>
        <w:tc>
          <w:tcPr>
            <w:tcW w:w="1151" w:type="dxa"/>
            <w:tcBorders>
              <w:top w:val="nil"/>
              <w:left w:val="nil"/>
              <w:bottom w:val="single" w:sz="8" w:space="0" w:color="45A7E1"/>
              <w:right w:val="single" w:sz="8" w:space="0" w:color="45A7E1"/>
            </w:tcBorders>
            <w:shd w:val="clear" w:color="000000" w:fill="DBE4ED"/>
            <w:vAlign w:val="center"/>
            <w:hideMark/>
          </w:tcPr>
          <w:p w14:paraId="0F7532C3" w14:textId="77777777" w:rsidR="00465FB4" w:rsidRPr="003506E5" w:rsidRDefault="00465FB4" w:rsidP="00465FB4">
            <w:pPr>
              <w:spacing w:after="0" w:line="240" w:lineRule="auto"/>
              <w:jc w:val="center"/>
              <w:rPr>
                <w:rFonts w:eastAsia="Times New Roman"/>
                <w:color w:val="000000"/>
                <w:sz w:val="20"/>
                <w:szCs w:val="20"/>
              </w:rPr>
            </w:pPr>
            <w:r w:rsidRPr="003506E5">
              <w:rPr>
                <w:rFonts w:eastAsia="Times New Roman"/>
                <w:color w:val="000000"/>
                <w:sz w:val="20"/>
                <w:szCs w:val="20"/>
              </w:rPr>
              <w:t>2</w:t>
            </w:r>
          </w:p>
        </w:tc>
        <w:tc>
          <w:tcPr>
            <w:tcW w:w="1314" w:type="dxa"/>
            <w:tcBorders>
              <w:top w:val="nil"/>
              <w:left w:val="nil"/>
              <w:bottom w:val="single" w:sz="8" w:space="0" w:color="45A7E1"/>
              <w:right w:val="single" w:sz="8" w:space="0" w:color="45A7E1"/>
            </w:tcBorders>
            <w:shd w:val="clear" w:color="000000" w:fill="DBE4ED"/>
            <w:vAlign w:val="center"/>
            <w:hideMark/>
          </w:tcPr>
          <w:p w14:paraId="1E292B39" w14:textId="5758C6E5" w:rsidR="00465FB4" w:rsidRPr="003506E5" w:rsidRDefault="00465FB4" w:rsidP="00271528">
            <w:pPr>
              <w:spacing w:after="0" w:line="240" w:lineRule="auto"/>
              <w:jc w:val="center"/>
              <w:rPr>
                <w:rFonts w:eastAsia="Times New Roman"/>
                <w:color w:val="000000"/>
                <w:sz w:val="20"/>
                <w:szCs w:val="20"/>
              </w:rPr>
            </w:pPr>
            <w:r w:rsidRPr="003506E5">
              <w:rPr>
                <w:rFonts w:eastAsia="Times New Roman"/>
                <w:color w:val="000000"/>
                <w:sz w:val="20"/>
                <w:szCs w:val="20"/>
              </w:rPr>
              <w:t>0.</w:t>
            </w:r>
            <w:r w:rsidR="00271528">
              <w:rPr>
                <w:rFonts w:eastAsia="Times New Roman"/>
                <w:color w:val="000000"/>
                <w:sz w:val="20"/>
                <w:szCs w:val="20"/>
              </w:rPr>
              <w:t>4</w:t>
            </w:r>
            <w:r w:rsidRPr="003506E5">
              <w:rPr>
                <w:rFonts w:eastAsia="Times New Roman"/>
                <w:color w:val="000000"/>
                <w:sz w:val="20"/>
                <w:szCs w:val="20"/>
              </w:rPr>
              <w:t>%</w:t>
            </w:r>
          </w:p>
        </w:tc>
      </w:tr>
      <w:tr w:rsidR="00465FB4" w:rsidRPr="003506E5" w14:paraId="70C77698" w14:textId="77777777" w:rsidTr="00271528">
        <w:trPr>
          <w:trHeight w:val="187"/>
        </w:trPr>
        <w:tc>
          <w:tcPr>
            <w:tcW w:w="2783" w:type="dxa"/>
            <w:tcBorders>
              <w:top w:val="nil"/>
              <w:left w:val="single" w:sz="8" w:space="0" w:color="45A7E1"/>
              <w:bottom w:val="single" w:sz="8" w:space="0" w:color="45A7E1"/>
              <w:right w:val="single" w:sz="8" w:space="0" w:color="45A7E1"/>
            </w:tcBorders>
            <w:shd w:val="clear" w:color="000000" w:fill="DBE4ED"/>
            <w:noWrap/>
            <w:vAlign w:val="center"/>
            <w:hideMark/>
          </w:tcPr>
          <w:p w14:paraId="43BD46F7" w14:textId="77777777" w:rsidR="00465FB4" w:rsidRPr="003506E5" w:rsidRDefault="00465FB4" w:rsidP="00465FB4">
            <w:pPr>
              <w:spacing w:after="0" w:line="240" w:lineRule="auto"/>
              <w:rPr>
                <w:rFonts w:eastAsia="Times New Roman"/>
                <w:b/>
                <w:bCs/>
                <w:color w:val="000000"/>
                <w:sz w:val="20"/>
                <w:szCs w:val="20"/>
              </w:rPr>
            </w:pPr>
            <w:r w:rsidRPr="003506E5">
              <w:rPr>
                <w:rFonts w:eastAsia="Times New Roman"/>
                <w:b/>
                <w:bCs/>
                <w:color w:val="000000"/>
                <w:sz w:val="20"/>
                <w:szCs w:val="20"/>
              </w:rPr>
              <w:t>Total</w:t>
            </w:r>
          </w:p>
        </w:tc>
        <w:tc>
          <w:tcPr>
            <w:tcW w:w="1151" w:type="dxa"/>
            <w:tcBorders>
              <w:top w:val="nil"/>
              <w:left w:val="nil"/>
              <w:bottom w:val="single" w:sz="8" w:space="0" w:color="45A7E1"/>
              <w:right w:val="single" w:sz="8" w:space="0" w:color="45A7E1"/>
            </w:tcBorders>
            <w:shd w:val="clear" w:color="000000" w:fill="DBE4ED"/>
            <w:vAlign w:val="center"/>
            <w:hideMark/>
          </w:tcPr>
          <w:p w14:paraId="4F585BC1" w14:textId="77777777" w:rsidR="00465FB4" w:rsidRPr="003506E5" w:rsidRDefault="00465FB4" w:rsidP="00465FB4">
            <w:pPr>
              <w:spacing w:after="0" w:line="240" w:lineRule="auto"/>
              <w:jc w:val="center"/>
              <w:rPr>
                <w:rFonts w:eastAsia="Times New Roman"/>
                <w:color w:val="000000"/>
                <w:sz w:val="20"/>
                <w:szCs w:val="20"/>
              </w:rPr>
            </w:pPr>
            <w:r w:rsidRPr="003506E5">
              <w:rPr>
                <w:rFonts w:eastAsia="Times New Roman"/>
                <w:color w:val="000000"/>
                <w:sz w:val="20"/>
                <w:szCs w:val="20"/>
              </w:rPr>
              <w:t>189</w:t>
            </w:r>
          </w:p>
        </w:tc>
        <w:tc>
          <w:tcPr>
            <w:tcW w:w="1151" w:type="dxa"/>
            <w:tcBorders>
              <w:top w:val="nil"/>
              <w:left w:val="nil"/>
              <w:bottom w:val="single" w:sz="8" w:space="0" w:color="45A7E1"/>
              <w:right w:val="single" w:sz="8" w:space="0" w:color="45A7E1"/>
            </w:tcBorders>
            <w:shd w:val="clear" w:color="000000" w:fill="DBE4ED"/>
            <w:vAlign w:val="center"/>
            <w:hideMark/>
          </w:tcPr>
          <w:p w14:paraId="0BC4D5C8" w14:textId="77777777" w:rsidR="00465FB4" w:rsidRPr="003506E5" w:rsidRDefault="00465FB4" w:rsidP="00465FB4">
            <w:pPr>
              <w:spacing w:after="0" w:line="240" w:lineRule="auto"/>
              <w:jc w:val="center"/>
              <w:rPr>
                <w:rFonts w:eastAsia="Times New Roman"/>
                <w:color w:val="000000"/>
                <w:sz w:val="20"/>
                <w:szCs w:val="20"/>
              </w:rPr>
            </w:pPr>
            <w:r w:rsidRPr="003506E5">
              <w:rPr>
                <w:rFonts w:eastAsia="Times New Roman"/>
                <w:color w:val="000000"/>
                <w:sz w:val="20"/>
                <w:szCs w:val="20"/>
              </w:rPr>
              <w:t>352</w:t>
            </w:r>
          </w:p>
        </w:tc>
        <w:tc>
          <w:tcPr>
            <w:tcW w:w="1151" w:type="dxa"/>
            <w:tcBorders>
              <w:top w:val="nil"/>
              <w:left w:val="nil"/>
              <w:bottom w:val="single" w:sz="8" w:space="0" w:color="45A7E1"/>
              <w:right w:val="single" w:sz="8" w:space="0" w:color="45A7E1"/>
            </w:tcBorders>
            <w:shd w:val="clear" w:color="000000" w:fill="DBE4ED"/>
            <w:vAlign w:val="center"/>
            <w:hideMark/>
          </w:tcPr>
          <w:p w14:paraId="194A04E4" w14:textId="77777777" w:rsidR="00465FB4" w:rsidRPr="003506E5" w:rsidRDefault="00465FB4" w:rsidP="00465FB4">
            <w:pPr>
              <w:spacing w:after="0" w:line="240" w:lineRule="auto"/>
              <w:jc w:val="center"/>
              <w:rPr>
                <w:rFonts w:eastAsia="Times New Roman"/>
                <w:color w:val="000000"/>
                <w:sz w:val="20"/>
                <w:szCs w:val="20"/>
              </w:rPr>
            </w:pPr>
            <w:r w:rsidRPr="003506E5">
              <w:rPr>
                <w:rFonts w:eastAsia="Times New Roman"/>
                <w:color w:val="000000"/>
                <w:sz w:val="20"/>
                <w:szCs w:val="20"/>
              </w:rPr>
              <w:t>541</w:t>
            </w:r>
          </w:p>
        </w:tc>
        <w:tc>
          <w:tcPr>
            <w:tcW w:w="1314" w:type="dxa"/>
            <w:tcBorders>
              <w:top w:val="nil"/>
              <w:left w:val="nil"/>
              <w:bottom w:val="single" w:sz="8" w:space="0" w:color="45A7E1"/>
              <w:right w:val="single" w:sz="8" w:space="0" w:color="45A7E1"/>
            </w:tcBorders>
            <w:shd w:val="clear" w:color="000000" w:fill="DBE4ED"/>
            <w:vAlign w:val="center"/>
            <w:hideMark/>
          </w:tcPr>
          <w:p w14:paraId="47AA7140" w14:textId="28AED7DF" w:rsidR="00465FB4" w:rsidRPr="003506E5" w:rsidRDefault="00465FB4" w:rsidP="00465FB4">
            <w:pPr>
              <w:spacing w:after="0" w:line="240" w:lineRule="auto"/>
              <w:jc w:val="center"/>
              <w:rPr>
                <w:rFonts w:eastAsia="Times New Roman"/>
                <w:color w:val="000000"/>
                <w:sz w:val="20"/>
                <w:szCs w:val="20"/>
              </w:rPr>
            </w:pPr>
          </w:p>
        </w:tc>
      </w:tr>
    </w:tbl>
    <w:p w14:paraId="25F913F0" w14:textId="2444D62F" w:rsidR="00A10B46" w:rsidRPr="003506E5" w:rsidRDefault="005F5304" w:rsidP="005F5304">
      <w:pPr>
        <w:pStyle w:val="BodyText"/>
      </w:pPr>
      <w:r w:rsidRPr="003506E5">
        <w:lastRenderedPageBreak/>
        <w:t>The City Hospital and DHQ hospital catered 9</w:t>
      </w:r>
      <w:r w:rsidR="001F7468" w:rsidRPr="003506E5">
        <w:t>3</w:t>
      </w:r>
      <w:r w:rsidRPr="003506E5">
        <w:t>% of the 1</w:t>
      </w:r>
      <w:r w:rsidR="001F7468" w:rsidRPr="003506E5">
        <w:t>89</w:t>
      </w:r>
      <w:r w:rsidRPr="003506E5">
        <w:t xml:space="preserve"> admissions from the eligible population. During the reporting period </w:t>
      </w:r>
      <w:r w:rsidR="001F7468" w:rsidRPr="003506E5">
        <w:t>36</w:t>
      </w:r>
      <w:r w:rsidRPr="003506E5">
        <w:t>% of all admissions were in public sector hospitals. In terms of admissions from eligible population, 5</w:t>
      </w:r>
      <w:r w:rsidR="001F7468" w:rsidRPr="003506E5">
        <w:t>3</w:t>
      </w:r>
      <w:r w:rsidRPr="003506E5">
        <w:t xml:space="preserve">% clients utilised City hospital, </w:t>
      </w:r>
      <w:r w:rsidR="001F7468" w:rsidRPr="003506E5">
        <w:t>40</w:t>
      </w:r>
      <w:r w:rsidRPr="003506E5">
        <w:t xml:space="preserve">% DHQ hospital, </w:t>
      </w:r>
      <w:r w:rsidR="001F7468" w:rsidRPr="003506E5">
        <w:t>4</w:t>
      </w:r>
      <w:r w:rsidRPr="003506E5">
        <w:t>% Gilgit Medical Centre, 2% Sehat Foundation and 1% utili</w:t>
      </w:r>
      <w:r w:rsidR="00F44D8F" w:rsidRPr="003506E5">
        <w:t>s</w:t>
      </w:r>
      <w:r w:rsidRPr="003506E5">
        <w:t>ed Family Health Hospital, Gilgit. The City Hospital catered the highest number of eligible admissions (</w:t>
      </w:r>
      <w:r w:rsidR="001F7468" w:rsidRPr="003506E5">
        <w:t>100</w:t>
      </w:r>
      <w:r w:rsidRPr="003506E5">
        <w:t>), while the Gilgit Medical Centre got the highest number of wider admissions (3</w:t>
      </w:r>
      <w:r w:rsidR="001F7468" w:rsidRPr="003506E5">
        <w:t>15</w:t>
      </w:r>
      <w:r w:rsidRPr="003506E5">
        <w:t xml:space="preserve">). </w:t>
      </w:r>
    </w:p>
    <w:p w14:paraId="1E9482EE" w14:textId="77777777" w:rsidR="002C51C6" w:rsidRPr="003506E5" w:rsidRDefault="002C51C6" w:rsidP="002C51C6">
      <w:pPr>
        <w:pStyle w:val="Heading20"/>
      </w:pPr>
      <w:bookmarkStart w:id="45" w:name="_Toc57215291"/>
      <w:r w:rsidRPr="003506E5">
        <w:t>Influence of COVID-19 pandemic on the scheme in Gilgit district</w:t>
      </w:r>
      <w:bookmarkEnd w:id="45"/>
    </w:p>
    <w:p w14:paraId="426F9910" w14:textId="1464ED56" w:rsidR="002C51C6" w:rsidRPr="003506E5" w:rsidRDefault="002C51C6" w:rsidP="00E34CDB">
      <w:pPr>
        <w:pStyle w:val="BodyText"/>
      </w:pPr>
      <w:r w:rsidRPr="003506E5">
        <w:rPr>
          <w:rStyle w:val="normaltextrun"/>
        </w:rPr>
        <w:t xml:space="preserve">The exponential rise in the number of confirmed COVID-19 cases in Pakistan </w:t>
      </w:r>
      <w:r w:rsidR="00A10B46" w:rsidRPr="003506E5">
        <w:rPr>
          <w:rStyle w:val="normaltextrun"/>
        </w:rPr>
        <w:t>in</w:t>
      </w:r>
      <w:r w:rsidRPr="003506E5">
        <w:rPr>
          <w:rStyle w:val="normaltextrun"/>
        </w:rPr>
        <w:t xml:space="preserve"> 2020 and the under-resourced health systems, and political and economic instabilities are adversely affecting the communities especially in the remote and rural areas of the country. </w:t>
      </w:r>
      <w:r w:rsidRPr="003506E5">
        <w:t xml:space="preserve">A high level of uncertainty prevails among the target communities due to restricted mobility, economic downturn and rising unemployment rates. In Gilgit </w:t>
      </w:r>
      <w:r w:rsidR="00937A26">
        <w:t xml:space="preserve">Baltistan, </w:t>
      </w:r>
      <w:r w:rsidRPr="003506E5">
        <w:t xml:space="preserve">as of </w:t>
      </w:r>
      <w:r w:rsidR="00937A26">
        <w:t xml:space="preserve">31 </w:t>
      </w:r>
      <w:r w:rsidR="00A10B46" w:rsidRPr="003506E5">
        <w:t>December</w:t>
      </w:r>
      <w:r w:rsidRPr="003506E5">
        <w:t xml:space="preserve"> 2020, there have been </w:t>
      </w:r>
      <w:r w:rsidR="00A10B46" w:rsidRPr="003506E5">
        <w:t>48</w:t>
      </w:r>
      <w:r w:rsidR="00E34CDB">
        <w:t>56</w:t>
      </w:r>
      <w:r w:rsidRPr="003506E5">
        <w:t xml:space="preserve"> confirmed cases and </w:t>
      </w:r>
      <w:r w:rsidR="00A10B46" w:rsidRPr="003506E5">
        <w:t>101</w:t>
      </w:r>
      <w:r w:rsidRPr="003506E5">
        <w:t xml:space="preserve"> deaths reported</w:t>
      </w:r>
      <w:r w:rsidR="00E34CDB">
        <w:t>.</w:t>
      </w:r>
      <w:r w:rsidRPr="003506E5">
        <w:t xml:space="preserve"> </w:t>
      </w:r>
    </w:p>
    <w:p w14:paraId="4E4FC1EB" w14:textId="3EFFC1AE" w:rsidR="002C51C6" w:rsidRPr="003506E5" w:rsidRDefault="002C51C6" w:rsidP="005F113E">
      <w:pPr>
        <w:pStyle w:val="BodyText"/>
        <w:rPr>
          <w:rStyle w:val="normaltextrun"/>
        </w:rPr>
      </w:pPr>
      <w:r w:rsidRPr="003506E5">
        <w:rPr>
          <w:rStyle w:val="normaltextrun"/>
        </w:rPr>
        <w:t>In the context of the COVID</w:t>
      </w:r>
      <w:r w:rsidRPr="003506E5">
        <w:rPr>
          <w:rStyle w:val="normaltextrun"/>
          <w:rFonts w:ascii="Cambria Math" w:hAnsi="Cambria Math" w:cs="Cambria Math"/>
        </w:rPr>
        <w:t>‑</w:t>
      </w:r>
      <w:r w:rsidRPr="003506E5">
        <w:rPr>
          <w:rStyle w:val="normaltextrun"/>
        </w:rPr>
        <w:t xml:space="preserve">19 crisis, </w:t>
      </w:r>
      <w:r w:rsidR="00E34CDB">
        <w:rPr>
          <w:rStyle w:val="normaltextrun"/>
        </w:rPr>
        <w:t>the f</w:t>
      </w:r>
      <w:r w:rsidRPr="003506E5">
        <w:rPr>
          <w:rStyle w:val="normaltextrun"/>
        </w:rPr>
        <w:t xml:space="preserve">ollowing project activities were </w:t>
      </w:r>
      <w:r w:rsidR="005F113E">
        <w:rPr>
          <w:rStyle w:val="normaltextrun"/>
        </w:rPr>
        <w:t>adversely</w:t>
      </w:r>
      <w:r w:rsidR="00E34CDB">
        <w:rPr>
          <w:rStyle w:val="normaltextrun"/>
        </w:rPr>
        <w:t xml:space="preserve"> </w:t>
      </w:r>
      <w:r w:rsidRPr="003506E5">
        <w:rPr>
          <w:rStyle w:val="normaltextrun"/>
        </w:rPr>
        <w:t xml:space="preserve">affected during </w:t>
      </w:r>
      <w:r w:rsidR="00E34CDB">
        <w:rPr>
          <w:rStyle w:val="normaltextrun"/>
        </w:rPr>
        <w:t>2020:</w:t>
      </w:r>
    </w:p>
    <w:p w14:paraId="64CF3CAB" w14:textId="18FAE4A1" w:rsidR="002C51C6" w:rsidRPr="003506E5" w:rsidRDefault="002C51C6" w:rsidP="00E34CDB">
      <w:pPr>
        <w:pStyle w:val="BodyText"/>
        <w:rPr>
          <w:rStyle w:val="normaltextrun"/>
          <w:b/>
          <w:bCs/>
        </w:rPr>
      </w:pPr>
      <w:r w:rsidRPr="003506E5">
        <w:rPr>
          <w:rStyle w:val="normaltextrun"/>
          <w:b/>
          <w:bCs/>
        </w:rPr>
        <w:t xml:space="preserve">Wider </w:t>
      </w:r>
      <w:r w:rsidR="00E34CDB" w:rsidRPr="003506E5">
        <w:rPr>
          <w:rStyle w:val="normaltextrun"/>
          <w:b/>
          <w:bCs/>
        </w:rPr>
        <w:t>enrolment</w:t>
      </w:r>
      <w:r w:rsidRPr="003506E5">
        <w:rPr>
          <w:rStyle w:val="normaltextrun"/>
          <w:b/>
          <w:bCs/>
        </w:rPr>
        <w:t xml:space="preserve"> campaign </w:t>
      </w:r>
      <w:r w:rsidRPr="003506E5">
        <w:rPr>
          <w:rStyle w:val="normaltextrun"/>
        </w:rPr>
        <w:t>adversely influenced during the reporting period, resulting only 103 new families enrolled in the scheme</w:t>
      </w:r>
      <w:r w:rsidR="00A10B46" w:rsidRPr="003506E5">
        <w:rPr>
          <w:rStyle w:val="normaltextrun"/>
        </w:rPr>
        <w:t xml:space="preserve"> in Q1-Q2, and 600 new families enrolled in the scheme in Q3-Q4.Total 703 new families enrolled in 2020</w:t>
      </w:r>
      <w:r w:rsidR="00E34CDB">
        <w:rPr>
          <w:rStyle w:val="normaltextrun"/>
        </w:rPr>
        <w:t xml:space="preserve"> whereas 1828 families were enrolled in 2019</w:t>
      </w:r>
      <w:r w:rsidR="00A10B46" w:rsidRPr="003506E5">
        <w:rPr>
          <w:rStyle w:val="normaltextrun"/>
        </w:rPr>
        <w:t>.</w:t>
      </w:r>
    </w:p>
    <w:p w14:paraId="7D576653" w14:textId="713AD4ED" w:rsidR="002C51C6" w:rsidRPr="003506E5" w:rsidRDefault="002C51C6" w:rsidP="00E34CDB">
      <w:pPr>
        <w:pStyle w:val="BodyText"/>
        <w:rPr>
          <w:rStyle w:val="normaltextrun"/>
        </w:rPr>
      </w:pPr>
      <w:r w:rsidRPr="003506E5">
        <w:rPr>
          <w:rStyle w:val="normaltextrun"/>
          <w:b/>
          <w:bCs/>
        </w:rPr>
        <w:t>Outreach activities</w:t>
      </w:r>
      <w:r w:rsidRPr="003506E5">
        <w:rPr>
          <w:rStyle w:val="normaltextrun"/>
        </w:rPr>
        <w:t xml:space="preserve"> such as awareness </w:t>
      </w:r>
      <w:r w:rsidR="00E34CDB">
        <w:rPr>
          <w:rStyle w:val="normaltextrun"/>
        </w:rPr>
        <w:t xml:space="preserve">raising </w:t>
      </w:r>
      <w:r w:rsidRPr="003506E5">
        <w:rPr>
          <w:rStyle w:val="normaltextrun"/>
        </w:rPr>
        <w:t>session</w:t>
      </w:r>
      <w:r w:rsidR="00E34CDB">
        <w:rPr>
          <w:rStyle w:val="normaltextrun"/>
        </w:rPr>
        <w:t>s</w:t>
      </w:r>
      <w:r w:rsidRPr="003506E5">
        <w:rPr>
          <w:rStyle w:val="normaltextrun"/>
        </w:rPr>
        <w:t xml:space="preserve"> with WOs/LSO/V</w:t>
      </w:r>
      <w:r w:rsidR="00E34CDB">
        <w:rPr>
          <w:rStyle w:val="normaltextrun"/>
        </w:rPr>
        <w:t>O</w:t>
      </w:r>
      <w:r w:rsidRPr="003506E5">
        <w:rPr>
          <w:rStyle w:val="normaltextrun"/>
        </w:rPr>
        <w:t>s, community meetings, medical camps and experience sharing workshop to inform individuals regarding insurance products and its benefits could not be executed as per plan during the reporting period.</w:t>
      </w:r>
      <w:r w:rsidR="005F113E">
        <w:rPr>
          <w:rStyle w:val="normaltextrun"/>
        </w:rPr>
        <w:t xml:space="preserve"> Inability to conduct outreach activities and to contact with beneficiaries might also played a role in drop of utilisation of services. </w:t>
      </w:r>
    </w:p>
    <w:p w14:paraId="1CFD882C" w14:textId="743BCBAD" w:rsidR="002C51C6" w:rsidRPr="003506E5" w:rsidRDefault="002C51C6" w:rsidP="00846A29">
      <w:pPr>
        <w:pStyle w:val="BodyText"/>
        <w:rPr>
          <w:rStyle w:val="normaltextrun"/>
        </w:rPr>
      </w:pPr>
      <w:r w:rsidRPr="003506E5">
        <w:rPr>
          <w:rStyle w:val="normaltextrun"/>
          <w:b/>
          <w:bCs/>
        </w:rPr>
        <w:t xml:space="preserve">OD Fund utilisation: </w:t>
      </w:r>
      <w:r w:rsidRPr="003506E5">
        <w:rPr>
          <w:rStyle w:val="normaltextrun"/>
        </w:rPr>
        <w:t xml:space="preserve">The lockdown and mandatory work from home delayed in procurement of services planned under </w:t>
      </w:r>
      <w:r w:rsidR="00DE3320" w:rsidRPr="003506E5">
        <w:rPr>
          <w:rStyle w:val="normaltextrun"/>
        </w:rPr>
        <w:t xml:space="preserve">the </w:t>
      </w:r>
      <w:r w:rsidRPr="003506E5">
        <w:rPr>
          <w:rStyle w:val="normaltextrun"/>
        </w:rPr>
        <w:t xml:space="preserve">OD Fund and initiation of capacity building activities as well </w:t>
      </w:r>
    </w:p>
    <w:p w14:paraId="455DC9F0" w14:textId="6593E72F" w:rsidR="002C51C6" w:rsidRPr="003506E5" w:rsidRDefault="002C51C6" w:rsidP="007F2CD1">
      <w:pPr>
        <w:pStyle w:val="BodyText"/>
        <w:rPr>
          <w:rStyle w:val="normaltextrun"/>
        </w:rPr>
      </w:pPr>
      <w:r w:rsidRPr="003506E5">
        <w:rPr>
          <w:rStyle w:val="normaltextrun"/>
          <w:b/>
          <w:bCs/>
        </w:rPr>
        <w:t>Hospital admissions</w:t>
      </w:r>
      <w:r w:rsidRPr="003506E5">
        <w:rPr>
          <w:rStyle w:val="normaltextrun"/>
        </w:rPr>
        <w:t xml:space="preserve"> </w:t>
      </w:r>
      <w:r w:rsidR="007F2CD1">
        <w:rPr>
          <w:rStyle w:val="normaltextrun"/>
        </w:rPr>
        <w:t xml:space="preserve">in 2020 </w:t>
      </w:r>
      <w:r w:rsidRPr="003506E5">
        <w:rPr>
          <w:rStyle w:val="normaltextrun"/>
        </w:rPr>
        <w:t xml:space="preserve">declined </w:t>
      </w:r>
      <w:r w:rsidR="007F2CD1">
        <w:rPr>
          <w:rStyle w:val="normaltextrun"/>
        </w:rPr>
        <w:t xml:space="preserve">by </w:t>
      </w:r>
      <w:r w:rsidR="0024617A" w:rsidRPr="003506E5">
        <w:rPr>
          <w:rStyle w:val="normaltextrun"/>
        </w:rPr>
        <w:t>50</w:t>
      </w:r>
      <w:r w:rsidRPr="003506E5">
        <w:rPr>
          <w:rStyle w:val="normaltextrun"/>
        </w:rPr>
        <w:t xml:space="preserve">% compared to admissions during the previous reporting </w:t>
      </w:r>
      <w:r w:rsidR="0024617A" w:rsidRPr="003506E5">
        <w:rPr>
          <w:rStyle w:val="normaltextrun"/>
        </w:rPr>
        <w:t>year (</w:t>
      </w:r>
      <w:r w:rsidRPr="003506E5">
        <w:rPr>
          <w:rStyle w:val="normaltextrun"/>
        </w:rPr>
        <w:t xml:space="preserve">2019). Only </w:t>
      </w:r>
      <w:r w:rsidR="0024617A" w:rsidRPr="003506E5">
        <w:rPr>
          <w:rStyle w:val="normaltextrun"/>
        </w:rPr>
        <w:t>1113</w:t>
      </w:r>
      <w:r w:rsidRPr="003506E5">
        <w:rPr>
          <w:rStyle w:val="normaltextrun"/>
        </w:rPr>
        <w:t xml:space="preserve"> patients hospitalised during </w:t>
      </w:r>
      <w:r w:rsidR="0024617A" w:rsidRPr="003506E5">
        <w:rPr>
          <w:rStyle w:val="normaltextrun"/>
        </w:rPr>
        <w:t>2020</w:t>
      </w:r>
      <w:r w:rsidRPr="003506E5">
        <w:rPr>
          <w:rStyle w:val="normaltextrun"/>
        </w:rPr>
        <w:t xml:space="preserve">. The average number of admissions per day remained 3.1 from Jan to </w:t>
      </w:r>
      <w:r w:rsidR="0024617A" w:rsidRPr="003506E5">
        <w:rPr>
          <w:rStyle w:val="normaltextrun"/>
        </w:rPr>
        <w:t>December</w:t>
      </w:r>
      <w:r w:rsidRPr="003506E5">
        <w:rPr>
          <w:rStyle w:val="normaltextrun"/>
        </w:rPr>
        <w:t xml:space="preserve"> 2020 compared to 6.1 admissions per day </w:t>
      </w:r>
      <w:r w:rsidR="0024617A" w:rsidRPr="003506E5">
        <w:rPr>
          <w:rStyle w:val="normaltextrun"/>
        </w:rPr>
        <w:t xml:space="preserve">in previous reporting year </w:t>
      </w:r>
      <w:r w:rsidRPr="003506E5">
        <w:rPr>
          <w:rStyle w:val="normaltextrun"/>
        </w:rPr>
        <w:t xml:space="preserve">2019. </w:t>
      </w:r>
      <w:r w:rsidR="007F2CD1">
        <w:rPr>
          <w:rStyle w:val="normaltextrun"/>
        </w:rPr>
        <w:t xml:space="preserve">Hospital </w:t>
      </w:r>
      <w:r w:rsidRPr="003506E5">
        <w:rPr>
          <w:rStyle w:val="normaltextrun"/>
        </w:rPr>
        <w:t xml:space="preserve">admissions </w:t>
      </w:r>
      <w:r w:rsidR="007F2CD1">
        <w:rPr>
          <w:rStyle w:val="normaltextrun"/>
        </w:rPr>
        <w:t xml:space="preserve">markedly declined with imposition of lockdown </w:t>
      </w:r>
      <w:r w:rsidRPr="003506E5">
        <w:rPr>
          <w:rStyle w:val="normaltextrun"/>
        </w:rPr>
        <w:t xml:space="preserve">in March in the district. It is evident from the fact that there were 392 admissions in first quarter (Jan to March) which dropped to 180 admissions </w:t>
      </w:r>
      <w:r w:rsidR="0024617A" w:rsidRPr="003506E5">
        <w:rPr>
          <w:rStyle w:val="normaltextrun"/>
        </w:rPr>
        <w:t>in second quarter (</w:t>
      </w:r>
      <w:r w:rsidRPr="003506E5">
        <w:rPr>
          <w:rStyle w:val="normaltextrun"/>
        </w:rPr>
        <w:t>April to June</w:t>
      </w:r>
      <w:r w:rsidR="0024617A" w:rsidRPr="003506E5">
        <w:rPr>
          <w:rStyle w:val="normaltextrun"/>
        </w:rPr>
        <w:t>)</w:t>
      </w:r>
      <w:r w:rsidR="007F2CD1">
        <w:rPr>
          <w:rStyle w:val="normaltextrun"/>
        </w:rPr>
        <w:t>. Admissions increased to</w:t>
      </w:r>
      <w:r w:rsidR="00E34CDB">
        <w:rPr>
          <w:rStyle w:val="normaltextrun"/>
        </w:rPr>
        <w:t xml:space="preserve"> </w:t>
      </w:r>
      <w:r w:rsidR="0024617A" w:rsidRPr="003506E5">
        <w:rPr>
          <w:rStyle w:val="normaltextrun"/>
        </w:rPr>
        <w:t xml:space="preserve">267 in third quarter (Jul-Sep) and </w:t>
      </w:r>
      <w:r w:rsidR="007F2CD1">
        <w:rPr>
          <w:rStyle w:val="normaltextrun"/>
        </w:rPr>
        <w:t xml:space="preserve">to </w:t>
      </w:r>
      <w:r w:rsidR="0024617A" w:rsidRPr="003506E5">
        <w:rPr>
          <w:rStyle w:val="normaltextrun"/>
        </w:rPr>
        <w:t xml:space="preserve">274 in fourth </w:t>
      </w:r>
      <w:r w:rsidR="00DB731B" w:rsidRPr="003506E5">
        <w:rPr>
          <w:rStyle w:val="normaltextrun"/>
        </w:rPr>
        <w:t>quarter (</w:t>
      </w:r>
      <w:r w:rsidR="0024617A" w:rsidRPr="003506E5">
        <w:rPr>
          <w:rStyle w:val="normaltextrun"/>
        </w:rPr>
        <w:t>Oct-Dec).</w:t>
      </w:r>
      <w:r w:rsidR="007F2CD1">
        <w:rPr>
          <w:rStyle w:val="normaltextrun"/>
        </w:rPr>
        <w:t xml:space="preserve"> </w:t>
      </w:r>
      <w:r w:rsidR="0024617A" w:rsidRPr="003506E5">
        <w:rPr>
          <w:rStyle w:val="normaltextrun"/>
        </w:rPr>
        <w:t xml:space="preserve">It shows hospital admissions </w:t>
      </w:r>
    </w:p>
    <w:p w14:paraId="3A18E0BE" w14:textId="480FF807" w:rsidR="002C51C6" w:rsidRPr="003506E5" w:rsidRDefault="002C51C6" w:rsidP="007F2CD1">
      <w:pPr>
        <w:pStyle w:val="BodyText"/>
      </w:pPr>
      <w:r w:rsidRPr="003506E5">
        <w:t>The COVID-19 pandemic not only adversely affected the services provision for insured population, but it also led to decline of utilisation of all healthcare services provided by public and private healthcare providers. The following graphs show the impact of COVID-19 on overall admissions in public sector hospitals (DHQ and City Hospital Gilgit) and on admissions of all insured beneficiaries</w:t>
      </w:r>
      <w:r w:rsidR="007F2CD1">
        <w:t xml:space="preserve"> in 2020 in comparison with admissions in 2019</w:t>
      </w:r>
      <w:r w:rsidRPr="003506E5">
        <w:t xml:space="preserve">.   </w:t>
      </w:r>
    </w:p>
    <w:p w14:paraId="6772A9B8" w14:textId="64BE0D59" w:rsidR="002C51C6" w:rsidRPr="003506E5" w:rsidRDefault="002C51C6" w:rsidP="002C51C6">
      <w:pPr>
        <w:pStyle w:val="Caption"/>
      </w:pPr>
      <w:bookmarkStart w:id="46" w:name="_Toc57215246"/>
      <w:r w:rsidRPr="003506E5">
        <w:lastRenderedPageBreak/>
        <w:t xml:space="preserve">Figure </w:t>
      </w:r>
      <w:r w:rsidR="0049229E">
        <w:fldChar w:fldCharType="begin"/>
      </w:r>
      <w:r w:rsidR="0049229E">
        <w:instrText xml:space="preserve"> SEQ Figure \* ARABIC </w:instrText>
      </w:r>
      <w:r w:rsidR="0049229E">
        <w:fldChar w:fldCharType="separate"/>
      </w:r>
      <w:r w:rsidR="0049229E">
        <w:rPr>
          <w:noProof/>
        </w:rPr>
        <w:t>3</w:t>
      </w:r>
      <w:r w:rsidR="0049229E">
        <w:fldChar w:fldCharType="end"/>
      </w:r>
      <w:r w:rsidR="00846A29" w:rsidRPr="003506E5">
        <w:t>:</w:t>
      </w:r>
      <w:r w:rsidRPr="003506E5">
        <w:t xml:space="preserve"> Impact of COVID-19 on total admissions from insured population</w:t>
      </w:r>
      <w:bookmarkEnd w:id="46"/>
    </w:p>
    <w:p w14:paraId="14689D42" w14:textId="23339CDB" w:rsidR="002C51C6" w:rsidRDefault="001D715C" w:rsidP="001D715C">
      <w:pPr>
        <w:keepNext/>
        <w:rPr>
          <w:noProof/>
          <w:lang w:eastAsia="en-US"/>
        </w:rPr>
      </w:pPr>
      <w:r w:rsidRPr="003506E5">
        <w:rPr>
          <w:noProof/>
          <w:lang w:eastAsia="en-US"/>
        </w:rPr>
        <w:drawing>
          <wp:inline distT="0" distB="0" distL="0" distR="0" wp14:anchorId="4CDEB9FF" wp14:editId="17924973">
            <wp:extent cx="5537200" cy="2743200"/>
            <wp:effectExtent l="0" t="0" r="6350" b="0"/>
            <wp:docPr id="4" name="Chart 4">
              <a:extLst xmlns:a="http://schemas.openxmlformats.org/drawingml/2006/main">
                <a:ext uri="{FF2B5EF4-FFF2-40B4-BE49-F238E27FC236}">
                  <a16:creationId xmlns:a16="http://schemas.microsoft.com/office/drawing/2014/main" id="{78506259-2E37-493A-9860-D1E8B65238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E153D7A" w14:textId="1D17CD5A" w:rsidR="00733DEC" w:rsidRDefault="00733DEC" w:rsidP="00733DEC">
      <w:pPr>
        <w:pStyle w:val="BodyText"/>
        <w:rPr>
          <w:lang w:eastAsia="en-US"/>
        </w:rPr>
      </w:pPr>
    </w:p>
    <w:p w14:paraId="593E63D6" w14:textId="5779122A" w:rsidR="0049229E" w:rsidRDefault="0049229E" w:rsidP="0049229E">
      <w:pPr>
        <w:pStyle w:val="Caption"/>
      </w:pPr>
      <w:r>
        <w:t xml:space="preserve">Figure </w:t>
      </w:r>
      <w:r>
        <w:fldChar w:fldCharType="begin"/>
      </w:r>
      <w:r>
        <w:instrText xml:space="preserve"> SEQ Figure \* ARABIC </w:instrText>
      </w:r>
      <w:r>
        <w:fldChar w:fldCharType="separate"/>
      </w:r>
      <w:r>
        <w:rPr>
          <w:noProof/>
        </w:rPr>
        <w:t>4</w:t>
      </w:r>
      <w:r>
        <w:fldChar w:fldCharType="end"/>
      </w:r>
      <w:r>
        <w:rPr>
          <w:lang w:val="en-US"/>
        </w:rPr>
        <w:t xml:space="preserve">: </w:t>
      </w:r>
      <w:r w:rsidRPr="00EA1A75">
        <w:rPr>
          <w:lang w:val="en-US"/>
        </w:rPr>
        <w:t>Impact of COVID-19 on total admissions from general population in Public Sector Hospitals</w:t>
      </w:r>
    </w:p>
    <w:p w14:paraId="7FEE49EC" w14:textId="77777777" w:rsidR="0049229E" w:rsidRDefault="00733DEC" w:rsidP="0049229E">
      <w:pPr>
        <w:pStyle w:val="BodyText"/>
        <w:keepNext/>
      </w:pPr>
      <w:r>
        <w:rPr>
          <w:noProof/>
          <w:lang w:val="en-US" w:eastAsia="en-US"/>
        </w:rPr>
        <w:drawing>
          <wp:inline distT="0" distB="0" distL="0" distR="0" wp14:anchorId="175987A0" wp14:editId="6BBC81FC">
            <wp:extent cx="5575300" cy="2743200"/>
            <wp:effectExtent l="0" t="0" r="63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52DC86B" w14:textId="35B5473A" w:rsidR="00733DEC" w:rsidRPr="0049229E" w:rsidRDefault="0049229E" w:rsidP="0049229E">
      <w:pPr>
        <w:pStyle w:val="Caption"/>
        <w:ind w:left="270" w:firstLine="0"/>
        <w:rPr>
          <w:rFonts w:eastAsiaTheme="minorHAnsi" w:cs="Arial"/>
          <w:b w:val="0"/>
          <w:bCs w:val="0"/>
          <w:color w:val="auto"/>
          <w:lang w:eastAsia="en-GB"/>
        </w:rPr>
      </w:pPr>
      <w:r w:rsidRPr="0049229E">
        <w:rPr>
          <w:rFonts w:eastAsiaTheme="minorHAnsi" w:cs="Arial"/>
          <w:b w:val="0"/>
          <w:bCs w:val="0"/>
          <w:color w:val="auto"/>
          <w:lang w:eastAsia="en-GB"/>
        </w:rPr>
        <w:t xml:space="preserve">The </w:t>
      </w:r>
      <w:r>
        <w:rPr>
          <w:rFonts w:eastAsiaTheme="minorHAnsi" w:cs="Arial"/>
          <w:b w:val="0"/>
          <w:bCs w:val="0"/>
          <w:color w:val="auto"/>
          <w:lang w:eastAsia="en-GB"/>
        </w:rPr>
        <w:t xml:space="preserve">total admissions in public sector hospitals Gilgit (DHQ and City Hospital) dropped from 97,669 in 2019 to 64,326 in 2020 recording a 34% decline. </w:t>
      </w:r>
    </w:p>
    <w:p w14:paraId="0C65B4C3" w14:textId="77777777" w:rsidR="005F5304" w:rsidRPr="003506E5" w:rsidRDefault="005F5304" w:rsidP="005F5304">
      <w:pPr>
        <w:pStyle w:val="Heading20"/>
        <w:rPr>
          <w:color w:val="002147"/>
        </w:rPr>
      </w:pPr>
      <w:bookmarkStart w:id="47" w:name="_Toc57215292"/>
      <w:r w:rsidRPr="003506E5">
        <w:t xml:space="preserve">Age and Gender Distribution by </w:t>
      </w:r>
      <w:r w:rsidR="00846A29" w:rsidRPr="003506E5">
        <w:t>E</w:t>
      </w:r>
      <w:r w:rsidRPr="003506E5">
        <w:t xml:space="preserve">ligible and </w:t>
      </w:r>
      <w:r w:rsidR="00846A29" w:rsidRPr="003506E5">
        <w:t>W</w:t>
      </w:r>
      <w:r w:rsidRPr="003506E5">
        <w:t xml:space="preserve">ider </w:t>
      </w:r>
      <w:r w:rsidR="00846A29" w:rsidRPr="003506E5">
        <w:t>E</w:t>
      </w:r>
      <w:r w:rsidRPr="003506E5">
        <w:t>nrolled</w:t>
      </w:r>
      <w:bookmarkEnd w:id="47"/>
    </w:p>
    <w:p w14:paraId="34D450C4" w14:textId="0634DCF8" w:rsidR="005F5304" w:rsidRPr="003506E5" w:rsidRDefault="005F5304" w:rsidP="005F5304">
      <w:pPr>
        <w:pStyle w:val="BodyText"/>
      </w:pPr>
      <w:r w:rsidRPr="003506E5">
        <w:t>During the reporting period 66% of all admitted patients were female. This trend of higher proportion of female beneficiaries was noticed both in public sector (</w:t>
      </w:r>
      <w:r w:rsidR="001D715C" w:rsidRPr="003506E5">
        <w:t>39</w:t>
      </w:r>
      <w:r w:rsidRPr="003506E5">
        <w:t>% female admissions) and private sector (6</w:t>
      </w:r>
      <w:r w:rsidR="001D715C" w:rsidRPr="003506E5">
        <w:t>1</w:t>
      </w:r>
      <w:r w:rsidRPr="003506E5">
        <w:t xml:space="preserve">%) hospitals as well as among beneficiaries from the </w:t>
      </w:r>
      <w:r w:rsidR="000A4A14" w:rsidRPr="003506E5">
        <w:t>eligible (93% public &amp; 7% private)</w:t>
      </w:r>
      <w:r w:rsidRPr="003506E5">
        <w:t xml:space="preserve"> and wider populations (</w:t>
      </w:r>
      <w:r w:rsidR="000A4A14" w:rsidRPr="003506E5">
        <w:t>7</w:t>
      </w:r>
      <w:r w:rsidRPr="003506E5">
        <w:t>%</w:t>
      </w:r>
      <w:r w:rsidR="000A4A14" w:rsidRPr="003506E5">
        <w:t>public</w:t>
      </w:r>
      <w:r w:rsidRPr="003506E5">
        <w:t xml:space="preserve"> and </w:t>
      </w:r>
      <w:r w:rsidR="000A4A14" w:rsidRPr="003506E5">
        <w:t>94</w:t>
      </w:r>
      <w:r w:rsidRPr="003506E5">
        <w:t>%</w:t>
      </w:r>
      <w:r w:rsidR="000A4A14" w:rsidRPr="003506E5">
        <w:t>private</w:t>
      </w:r>
      <w:r w:rsidRPr="003506E5">
        <w:t xml:space="preserve">). The following table shows </w:t>
      </w:r>
      <w:r w:rsidRPr="003506E5">
        <w:lastRenderedPageBreak/>
        <w:t>the distribution of admitted patients by gender and by different age groups from eligible and wider populations.</w:t>
      </w:r>
    </w:p>
    <w:p w14:paraId="502B4452" w14:textId="69F3A323" w:rsidR="005F5304" w:rsidRPr="003506E5" w:rsidRDefault="005F5304" w:rsidP="005F5304">
      <w:pPr>
        <w:pStyle w:val="Caption"/>
      </w:pPr>
      <w:bookmarkStart w:id="48" w:name="_Toc57215235"/>
      <w:r w:rsidRPr="003506E5">
        <w:t xml:space="preserve">Table </w:t>
      </w:r>
      <w:r w:rsidR="00B76041" w:rsidRPr="003506E5">
        <w:fldChar w:fldCharType="begin"/>
      </w:r>
      <w:r w:rsidRPr="003506E5">
        <w:instrText xml:space="preserve"> SEQ Table \* ARABIC </w:instrText>
      </w:r>
      <w:r w:rsidR="00B76041" w:rsidRPr="003506E5">
        <w:fldChar w:fldCharType="separate"/>
      </w:r>
      <w:r w:rsidR="00AE4FA0">
        <w:rPr>
          <w:noProof/>
        </w:rPr>
        <w:t>15</w:t>
      </w:r>
      <w:r w:rsidR="00B76041" w:rsidRPr="003506E5">
        <w:fldChar w:fldCharType="end"/>
      </w:r>
      <w:r w:rsidRPr="003506E5">
        <w:t>:</w:t>
      </w:r>
      <w:r w:rsidR="00EB1301" w:rsidRPr="003506E5">
        <w:t xml:space="preserve"> </w:t>
      </w:r>
      <w:r w:rsidRPr="003506E5">
        <w:t xml:space="preserve">Distribution of admissions by </w:t>
      </w:r>
      <w:r w:rsidR="00846A29" w:rsidRPr="003506E5">
        <w:t>a</w:t>
      </w:r>
      <w:r w:rsidRPr="003506E5">
        <w:t>ge group, gender and type of enrolment</w:t>
      </w:r>
      <w:bookmarkEnd w:id="48"/>
    </w:p>
    <w:tbl>
      <w:tblPr>
        <w:tblW w:w="9175" w:type="dxa"/>
        <w:tblInd w:w="-5" w:type="dxa"/>
        <w:tblBorders>
          <w:top w:val="single" w:sz="8" w:space="0" w:color="45A7E1"/>
          <w:left w:val="single" w:sz="8" w:space="0" w:color="45A7E1"/>
          <w:bottom w:val="single" w:sz="8" w:space="0" w:color="45A7E1"/>
          <w:right w:val="single" w:sz="8" w:space="0" w:color="45A7E1"/>
          <w:insideH w:val="single" w:sz="8" w:space="0" w:color="45A7E1"/>
          <w:insideV w:val="single" w:sz="8" w:space="0" w:color="45A7E1"/>
        </w:tblBorders>
        <w:tblLayout w:type="fixed"/>
        <w:tblLook w:val="04A0" w:firstRow="1" w:lastRow="0" w:firstColumn="1" w:lastColumn="0" w:noHBand="0" w:noVBand="1"/>
      </w:tblPr>
      <w:tblGrid>
        <w:gridCol w:w="1960"/>
        <w:gridCol w:w="1005"/>
        <w:gridCol w:w="810"/>
        <w:gridCol w:w="900"/>
        <w:gridCol w:w="990"/>
        <w:gridCol w:w="810"/>
        <w:gridCol w:w="990"/>
        <w:gridCol w:w="810"/>
        <w:gridCol w:w="900"/>
      </w:tblGrid>
      <w:tr w:rsidR="00944FF3" w:rsidRPr="00AB09CE" w14:paraId="7B460AED" w14:textId="77777777" w:rsidTr="00351CC2">
        <w:trPr>
          <w:trHeight w:val="290"/>
        </w:trPr>
        <w:tc>
          <w:tcPr>
            <w:tcW w:w="1960" w:type="dxa"/>
            <w:vMerge w:val="restart"/>
            <w:shd w:val="clear" w:color="000000" w:fill="0B1F51"/>
            <w:vAlign w:val="center"/>
            <w:hideMark/>
          </w:tcPr>
          <w:p w14:paraId="073BE715" w14:textId="77777777" w:rsidR="00944FF3" w:rsidRPr="00AB09CE" w:rsidRDefault="00944FF3" w:rsidP="00351CC2">
            <w:pPr>
              <w:spacing w:after="0" w:line="240" w:lineRule="auto"/>
              <w:rPr>
                <w:rFonts w:asciiTheme="minorBidi" w:eastAsia="Times New Roman" w:hAnsiTheme="minorBidi" w:cstheme="minorBidi"/>
                <w:b/>
                <w:bCs/>
                <w:color w:val="FFFFFF"/>
                <w:sz w:val="20"/>
                <w:szCs w:val="20"/>
                <w:lang w:val="en-US" w:eastAsia="en-US"/>
              </w:rPr>
            </w:pPr>
            <w:r w:rsidRPr="00AB09CE">
              <w:rPr>
                <w:rFonts w:asciiTheme="minorBidi" w:eastAsia="Times New Roman" w:hAnsiTheme="minorBidi" w:cstheme="minorBidi"/>
                <w:b/>
                <w:bCs/>
                <w:color w:val="FFFFFF"/>
                <w:sz w:val="20"/>
                <w:szCs w:val="20"/>
                <w:lang w:val="en-US" w:eastAsia="en-US"/>
              </w:rPr>
              <w:t>Age Group</w:t>
            </w:r>
          </w:p>
        </w:tc>
        <w:tc>
          <w:tcPr>
            <w:tcW w:w="2715" w:type="dxa"/>
            <w:gridSpan w:val="3"/>
            <w:shd w:val="clear" w:color="auto" w:fill="002060"/>
            <w:noWrap/>
            <w:vAlign w:val="bottom"/>
            <w:hideMark/>
          </w:tcPr>
          <w:p w14:paraId="201CB951" w14:textId="77777777" w:rsidR="00944FF3" w:rsidRPr="00AB09CE" w:rsidRDefault="00944FF3" w:rsidP="00351CC2">
            <w:pPr>
              <w:spacing w:after="0" w:line="240" w:lineRule="auto"/>
              <w:jc w:val="center"/>
              <w:rPr>
                <w:rFonts w:asciiTheme="minorBidi" w:eastAsia="Times New Roman" w:hAnsiTheme="minorBidi" w:cstheme="minorBidi"/>
                <w:b/>
                <w:bCs/>
                <w:sz w:val="20"/>
                <w:szCs w:val="20"/>
                <w:lang w:val="en-US" w:eastAsia="en-US"/>
              </w:rPr>
            </w:pPr>
            <w:r w:rsidRPr="00AB09CE">
              <w:rPr>
                <w:rFonts w:asciiTheme="minorBidi" w:eastAsia="Times New Roman" w:hAnsiTheme="minorBidi" w:cstheme="minorBidi"/>
                <w:b/>
                <w:bCs/>
                <w:sz w:val="20"/>
                <w:szCs w:val="20"/>
                <w:lang w:val="en-US" w:eastAsia="en-US"/>
              </w:rPr>
              <w:t>Female</w:t>
            </w:r>
          </w:p>
        </w:tc>
        <w:tc>
          <w:tcPr>
            <w:tcW w:w="2790" w:type="dxa"/>
            <w:gridSpan w:val="3"/>
            <w:shd w:val="clear" w:color="auto" w:fill="002060"/>
            <w:noWrap/>
            <w:vAlign w:val="bottom"/>
            <w:hideMark/>
          </w:tcPr>
          <w:p w14:paraId="08FE241B" w14:textId="77777777" w:rsidR="00944FF3" w:rsidRPr="00AB09CE" w:rsidRDefault="00944FF3" w:rsidP="00351CC2">
            <w:pPr>
              <w:spacing w:after="0" w:line="240" w:lineRule="auto"/>
              <w:jc w:val="center"/>
              <w:rPr>
                <w:rFonts w:asciiTheme="minorBidi" w:eastAsia="Times New Roman" w:hAnsiTheme="minorBidi" w:cstheme="minorBidi"/>
                <w:b/>
                <w:bCs/>
                <w:sz w:val="20"/>
                <w:szCs w:val="20"/>
                <w:lang w:val="en-US" w:eastAsia="en-US"/>
              </w:rPr>
            </w:pPr>
            <w:r w:rsidRPr="00AB09CE">
              <w:rPr>
                <w:rFonts w:asciiTheme="minorBidi" w:eastAsia="Times New Roman" w:hAnsiTheme="minorBidi" w:cstheme="minorBidi"/>
                <w:b/>
                <w:bCs/>
                <w:sz w:val="20"/>
                <w:szCs w:val="20"/>
                <w:lang w:val="en-US" w:eastAsia="en-US"/>
              </w:rPr>
              <w:t>Male</w:t>
            </w:r>
          </w:p>
        </w:tc>
        <w:tc>
          <w:tcPr>
            <w:tcW w:w="1710" w:type="dxa"/>
            <w:gridSpan w:val="2"/>
            <w:shd w:val="clear" w:color="auto" w:fill="002060"/>
            <w:vAlign w:val="center"/>
            <w:hideMark/>
          </w:tcPr>
          <w:p w14:paraId="18BBE4D2" w14:textId="77777777" w:rsidR="00944FF3" w:rsidRPr="00AB09CE" w:rsidRDefault="00944FF3" w:rsidP="00351CC2">
            <w:pPr>
              <w:spacing w:after="0" w:line="240" w:lineRule="auto"/>
              <w:jc w:val="center"/>
              <w:rPr>
                <w:rFonts w:asciiTheme="minorBidi" w:eastAsia="Times New Roman" w:hAnsiTheme="minorBidi" w:cstheme="minorBidi"/>
                <w:b/>
                <w:bCs/>
                <w:sz w:val="20"/>
                <w:szCs w:val="20"/>
                <w:lang w:val="en-US" w:eastAsia="en-US"/>
              </w:rPr>
            </w:pPr>
            <w:r w:rsidRPr="00AB09CE">
              <w:rPr>
                <w:rFonts w:asciiTheme="minorBidi" w:eastAsia="Times New Roman" w:hAnsiTheme="minorBidi" w:cstheme="minorBidi"/>
                <w:b/>
                <w:bCs/>
                <w:sz w:val="20"/>
                <w:szCs w:val="20"/>
                <w:lang w:val="en-US" w:eastAsia="en-US"/>
              </w:rPr>
              <w:t>Overall</w:t>
            </w:r>
          </w:p>
        </w:tc>
      </w:tr>
      <w:tr w:rsidR="00944FF3" w:rsidRPr="00AB09CE" w14:paraId="3FBFF1F1" w14:textId="77777777" w:rsidTr="00351CC2">
        <w:trPr>
          <w:trHeight w:val="290"/>
        </w:trPr>
        <w:tc>
          <w:tcPr>
            <w:tcW w:w="1960" w:type="dxa"/>
            <w:vMerge/>
            <w:vAlign w:val="center"/>
            <w:hideMark/>
          </w:tcPr>
          <w:p w14:paraId="491E209B" w14:textId="77777777" w:rsidR="00944FF3" w:rsidRPr="00AB09CE" w:rsidRDefault="00944FF3" w:rsidP="00351CC2">
            <w:pPr>
              <w:spacing w:after="0" w:line="240" w:lineRule="auto"/>
              <w:rPr>
                <w:rFonts w:asciiTheme="minorBidi" w:eastAsia="Times New Roman" w:hAnsiTheme="minorBidi" w:cstheme="minorBidi"/>
                <w:b/>
                <w:bCs/>
                <w:color w:val="FFFFFF"/>
                <w:sz w:val="20"/>
                <w:szCs w:val="20"/>
                <w:lang w:val="en-US" w:eastAsia="en-US"/>
              </w:rPr>
            </w:pPr>
          </w:p>
        </w:tc>
        <w:tc>
          <w:tcPr>
            <w:tcW w:w="1005" w:type="dxa"/>
            <w:shd w:val="clear" w:color="auto" w:fill="002060"/>
            <w:noWrap/>
            <w:vAlign w:val="bottom"/>
            <w:hideMark/>
          </w:tcPr>
          <w:p w14:paraId="23D5B38D" w14:textId="77777777" w:rsidR="00944FF3" w:rsidRPr="00AB09CE" w:rsidRDefault="00944FF3" w:rsidP="00351CC2">
            <w:pPr>
              <w:spacing w:after="0" w:line="240" w:lineRule="auto"/>
              <w:jc w:val="center"/>
              <w:rPr>
                <w:rFonts w:asciiTheme="minorBidi" w:eastAsia="Times New Roman" w:hAnsiTheme="minorBidi" w:cstheme="minorBidi"/>
                <w:b/>
                <w:bCs/>
                <w:sz w:val="20"/>
                <w:szCs w:val="20"/>
                <w:lang w:val="en-US" w:eastAsia="en-US"/>
              </w:rPr>
            </w:pPr>
            <w:r w:rsidRPr="00AB09CE">
              <w:rPr>
                <w:rFonts w:asciiTheme="minorBidi" w:eastAsia="Times New Roman" w:hAnsiTheme="minorBidi" w:cstheme="minorBidi"/>
                <w:b/>
                <w:bCs/>
                <w:sz w:val="20"/>
                <w:szCs w:val="20"/>
                <w:lang w:val="en-US" w:eastAsia="en-US"/>
              </w:rPr>
              <w:t>Eligible</w:t>
            </w:r>
          </w:p>
        </w:tc>
        <w:tc>
          <w:tcPr>
            <w:tcW w:w="810" w:type="dxa"/>
            <w:shd w:val="clear" w:color="auto" w:fill="002060"/>
            <w:noWrap/>
            <w:vAlign w:val="bottom"/>
            <w:hideMark/>
          </w:tcPr>
          <w:p w14:paraId="5855E883" w14:textId="77777777" w:rsidR="00944FF3" w:rsidRPr="00AB09CE" w:rsidRDefault="00944FF3" w:rsidP="00351CC2">
            <w:pPr>
              <w:spacing w:after="0" w:line="240" w:lineRule="auto"/>
              <w:jc w:val="center"/>
              <w:rPr>
                <w:rFonts w:asciiTheme="minorBidi" w:eastAsia="Times New Roman" w:hAnsiTheme="minorBidi" w:cstheme="minorBidi"/>
                <w:b/>
                <w:bCs/>
                <w:sz w:val="20"/>
                <w:szCs w:val="20"/>
                <w:lang w:val="en-US" w:eastAsia="en-US"/>
              </w:rPr>
            </w:pPr>
            <w:r w:rsidRPr="00AB09CE">
              <w:rPr>
                <w:rFonts w:asciiTheme="minorBidi" w:eastAsia="Times New Roman" w:hAnsiTheme="minorBidi" w:cstheme="minorBidi"/>
                <w:b/>
                <w:bCs/>
                <w:sz w:val="20"/>
                <w:szCs w:val="20"/>
                <w:lang w:val="en-US" w:eastAsia="en-US"/>
              </w:rPr>
              <w:t>Wider</w:t>
            </w:r>
          </w:p>
        </w:tc>
        <w:tc>
          <w:tcPr>
            <w:tcW w:w="900" w:type="dxa"/>
            <w:shd w:val="clear" w:color="auto" w:fill="002060"/>
            <w:noWrap/>
            <w:vAlign w:val="bottom"/>
            <w:hideMark/>
          </w:tcPr>
          <w:p w14:paraId="72C5BD95" w14:textId="77777777" w:rsidR="00944FF3" w:rsidRPr="00AB09CE" w:rsidRDefault="00944FF3" w:rsidP="00351CC2">
            <w:pPr>
              <w:spacing w:after="0" w:line="240" w:lineRule="auto"/>
              <w:jc w:val="center"/>
              <w:rPr>
                <w:rFonts w:asciiTheme="minorBidi" w:eastAsia="Times New Roman" w:hAnsiTheme="minorBidi" w:cstheme="minorBidi"/>
                <w:b/>
                <w:bCs/>
                <w:sz w:val="20"/>
                <w:szCs w:val="20"/>
                <w:lang w:val="en-US" w:eastAsia="en-US"/>
              </w:rPr>
            </w:pPr>
            <w:r w:rsidRPr="00AB09CE">
              <w:rPr>
                <w:rFonts w:asciiTheme="minorBidi" w:eastAsia="Times New Roman" w:hAnsiTheme="minorBidi" w:cstheme="minorBidi"/>
                <w:b/>
                <w:bCs/>
                <w:sz w:val="20"/>
                <w:szCs w:val="20"/>
                <w:lang w:val="en-US" w:eastAsia="en-US"/>
              </w:rPr>
              <w:t>Total</w:t>
            </w:r>
          </w:p>
        </w:tc>
        <w:tc>
          <w:tcPr>
            <w:tcW w:w="990" w:type="dxa"/>
            <w:shd w:val="clear" w:color="auto" w:fill="002060"/>
            <w:noWrap/>
            <w:vAlign w:val="bottom"/>
            <w:hideMark/>
          </w:tcPr>
          <w:p w14:paraId="2706EEB9" w14:textId="77777777" w:rsidR="00944FF3" w:rsidRPr="00AB09CE" w:rsidRDefault="00944FF3" w:rsidP="00351CC2">
            <w:pPr>
              <w:spacing w:after="0" w:line="240" w:lineRule="auto"/>
              <w:jc w:val="center"/>
              <w:rPr>
                <w:rFonts w:asciiTheme="minorBidi" w:eastAsia="Times New Roman" w:hAnsiTheme="minorBidi" w:cstheme="minorBidi"/>
                <w:b/>
                <w:bCs/>
                <w:sz w:val="20"/>
                <w:szCs w:val="20"/>
                <w:lang w:val="en-US" w:eastAsia="en-US"/>
              </w:rPr>
            </w:pPr>
            <w:r w:rsidRPr="00AB09CE">
              <w:rPr>
                <w:rFonts w:asciiTheme="minorBidi" w:eastAsia="Times New Roman" w:hAnsiTheme="minorBidi" w:cstheme="minorBidi"/>
                <w:b/>
                <w:bCs/>
                <w:sz w:val="20"/>
                <w:szCs w:val="20"/>
                <w:lang w:val="en-US" w:eastAsia="en-US"/>
              </w:rPr>
              <w:t>Eligible</w:t>
            </w:r>
          </w:p>
        </w:tc>
        <w:tc>
          <w:tcPr>
            <w:tcW w:w="810" w:type="dxa"/>
            <w:shd w:val="clear" w:color="auto" w:fill="002060"/>
            <w:noWrap/>
            <w:vAlign w:val="bottom"/>
            <w:hideMark/>
          </w:tcPr>
          <w:p w14:paraId="5000F0C5" w14:textId="77777777" w:rsidR="00944FF3" w:rsidRPr="00AB09CE" w:rsidRDefault="00944FF3" w:rsidP="00351CC2">
            <w:pPr>
              <w:spacing w:after="0" w:line="240" w:lineRule="auto"/>
              <w:jc w:val="center"/>
              <w:rPr>
                <w:rFonts w:asciiTheme="minorBidi" w:eastAsia="Times New Roman" w:hAnsiTheme="minorBidi" w:cstheme="minorBidi"/>
                <w:b/>
                <w:bCs/>
                <w:sz w:val="20"/>
                <w:szCs w:val="20"/>
                <w:lang w:val="en-US" w:eastAsia="en-US"/>
              </w:rPr>
            </w:pPr>
            <w:r w:rsidRPr="00AB09CE">
              <w:rPr>
                <w:rFonts w:asciiTheme="minorBidi" w:eastAsia="Times New Roman" w:hAnsiTheme="minorBidi" w:cstheme="minorBidi"/>
                <w:b/>
                <w:bCs/>
                <w:sz w:val="20"/>
                <w:szCs w:val="20"/>
                <w:lang w:val="en-US" w:eastAsia="en-US"/>
              </w:rPr>
              <w:t>Wider</w:t>
            </w:r>
          </w:p>
        </w:tc>
        <w:tc>
          <w:tcPr>
            <w:tcW w:w="990" w:type="dxa"/>
            <w:shd w:val="clear" w:color="auto" w:fill="002060"/>
            <w:noWrap/>
            <w:vAlign w:val="bottom"/>
            <w:hideMark/>
          </w:tcPr>
          <w:p w14:paraId="4F218CEF" w14:textId="77777777" w:rsidR="00944FF3" w:rsidRPr="00AB09CE" w:rsidRDefault="00944FF3" w:rsidP="00351CC2">
            <w:pPr>
              <w:spacing w:after="0" w:line="240" w:lineRule="auto"/>
              <w:jc w:val="center"/>
              <w:rPr>
                <w:rFonts w:asciiTheme="minorBidi" w:eastAsia="Times New Roman" w:hAnsiTheme="minorBidi" w:cstheme="minorBidi"/>
                <w:b/>
                <w:bCs/>
                <w:sz w:val="20"/>
                <w:szCs w:val="20"/>
                <w:lang w:val="en-US" w:eastAsia="en-US"/>
              </w:rPr>
            </w:pPr>
            <w:r w:rsidRPr="00AB09CE">
              <w:rPr>
                <w:rFonts w:asciiTheme="minorBidi" w:eastAsia="Times New Roman" w:hAnsiTheme="minorBidi" w:cstheme="minorBidi"/>
                <w:b/>
                <w:bCs/>
                <w:sz w:val="20"/>
                <w:szCs w:val="20"/>
                <w:lang w:val="en-US" w:eastAsia="en-US"/>
              </w:rPr>
              <w:t>Total</w:t>
            </w:r>
          </w:p>
        </w:tc>
        <w:tc>
          <w:tcPr>
            <w:tcW w:w="810" w:type="dxa"/>
            <w:shd w:val="clear" w:color="auto" w:fill="002060"/>
            <w:vAlign w:val="center"/>
            <w:hideMark/>
          </w:tcPr>
          <w:p w14:paraId="55287EB8" w14:textId="77777777" w:rsidR="00944FF3" w:rsidRPr="00AB09CE" w:rsidRDefault="00944FF3" w:rsidP="00351CC2">
            <w:pPr>
              <w:spacing w:after="0" w:line="240" w:lineRule="auto"/>
              <w:jc w:val="center"/>
              <w:rPr>
                <w:rFonts w:asciiTheme="minorBidi" w:eastAsia="Times New Roman" w:hAnsiTheme="minorBidi" w:cstheme="minorBidi"/>
                <w:b/>
                <w:bCs/>
                <w:sz w:val="20"/>
                <w:szCs w:val="20"/>
                <w:lang w:val="en-US" w:eastAsia="en-US"/>
              </w:rPr>
            </w:pPr>
            <w:r w:rsidRPr="00AB09CE">
              <w:rPr>
                <w:rFonts w:asciiTheme="minorBidi" w:eastAsia="Times New Roman" w:hAnsiTheme="minorBidi" w:cstheme="minorBidi"/>
                <w:b/>
                <w:bCs/>
                <w:sz w:val="20"/>
                <w:szCs w:val="20"/>
                <w:lang w:val="en-US" w:eastAsia="en-US"/>
              </w:rPr>
              <w:t>#</w:t>
            </w:r>
          </w:p>
        </w:tc>
        <w:tc>
          <w:tcPr>
            <w:tcW w:w="900" w:type="dxa"/>
            <w:shd w:val="clear" w:color="auto" w:fill="002060"/>
            <w:vAlign w:val="center"/>
          </w:tcPr>
          <w:p w14:paraId="0D924724" w14:textId="77777777" w:rsidR="00944FF3" w:rsidRPr="00AB09CE" w:rsidRDefault="00944FF3" w:rsidP="00351CC2">
            <w:pPr>
              <w:spacing w:after="0" w:line="240" w:lineRule="auto"/>
              <w:jc w:val="center"/>
              <w:rPr>
                <w:rFonts w:asciiTheme="minorBidi" w:eastAsia="Times New Roman" w:hAnsiTheme="minorBidi" w:cstheme="minorBidi"/>
                <w:b/>
                <w:bCs/>
                <w:sz w:val="20"/>
                <w:szCs w:val="20"/>
                <w:lang w:val="en-US" w:eastAsia="en-US"/>
              </w:rPr>
            </w:pPr>
            <w:r w:rsidRPr="00AB09CE">
              <w:rPr>
                <w:rFonts w:asciiTheme="minorBidi" w:eastAsia="Times New Roman" w:hAnsiTheme="minorBidi" w:cstheme="minorBidi"/>
                <w:b/>
                <w:bCs/>
                <w:sz w:val="20"/>
                <w:szCs w:val="20"/>
                <w:lang w:val="en-US" w:eastAsia="en-US"/>
              </w:rPr>
              <w:t>%</w:t>
            </w:r>
          </w:p>
        </w:tc>
      </w:tr>
      <w:tr w:rsidR="00944FF3" w:rsidRPr="00AB09CE" w14:paraId="2C2A2B43" w14:textId="77777777" w:rsidTr="003C76B8">
        <w:trPr>
          <w:trHeight w:val="290"/>
        </w:trPr>
        <w:tc>
          <w:tcPr>
            <w:tcW w:w="1960" w:type="dxa"/>
            <w:shd w:val="clear" w:color="auto" w:fill="DAE4EC" w:themeFill="background2"/>
            <w:vAlign w:val="center"/>
            <w:hideMark/>
          </w:tcPr>
          <w:p w14:paraId="41B1776D" w14:textId="77777777" w:rsidR="00944FF3" w:rsidRPr="00AB09CE" w:rsidRDefault="00944FF3" w:rsidP="00351CC2">
            <w:pPr>
              <w:spacing w:after="0" w:line="240" w:lineRule="auto"/>
              <w:rPr>
                <w:rFonts w:asciiTheme="minorBidi" w:eastAsia="Times New Roman" w:hAnsiTheme="minorBidi" w:cstheme="minorBidi"/>
                <w:b/>
                <w:bCs/>
                <w:color w:val="0B1F51"/>
                <w:sz w:val="20"/>
                <w:szCs w:val="20"/>
                <w:lang w:val="en-US" w:eastAsia="en-US"/>
              </w:rPr>
            </w:pPr>
            <w:r w:rsidRPr="00AB09CE">
              <w:rPr>
                <w:rFonts w:asciiTheme="minorBidi" w:eastAsia="Times New Roman" w:hAnsiTheme="minorBidi" w:cstheme="minorBidi"/>
                <w:b/>
                <w:bCs/>
                <w:color w:val="0B1F51"/>
                <w:sz w:val="20"/>
                <w:szCs w:val="20"/>
                <w:lang w:val="en-US" w:eastAsia="en-US"/>
              </w:rPr>
              <w:t xml:space="preserve">Less than 1  </w:t>
            </w:r>
          </w:p>
        </w:tc>
        <w:tc>
          <w:tcPr>
            <w:tcW w:w="1005" w:type="dxa"/>
            <w:shd w:val="clear" w:color="auto" w:fill="DAE4EC" w:themeFill="background2"/>
            <w:noWrap/>
            <w:vAlign w:val="center"/>
            <w:hideMark/>
          </w:tcPr>
          <w:p w14:paraId="503F785F" w14:textId="77777777" w:rsidR="00944FF3" w:rsidRPr="00AB09CE" w:rsidRDefault="00944FF3" w:rsidP="00351CC2">
            <w:pPr>
              <w:spacing w:after="0" w:line="240" w:lineRule="auto"/>
              <w:jc w:val="center"/>
              <w:rPr>
                <w:rFonts w:asciiTheme="minorBidi" w:eastAsia="Times New Roman" w:hAnsiTheme="minorBidi" w:cstheme="minorBidi"/>
                <w:color w:val="000000"/>
                <w:sz w:val="20"/>
                <w:szCs w:val="20"/>
                <w:lang w:val="en-US" w:eastAsia="en-US"/>
              </w:rPr>
            </w:pPr>
            <w:r w:rsidRPr="00AB09CE">
              <w:rPr>
                <w:rFonts w:asciiTheme="minorBidi" w:eastAsia="Times New Roman" w:hAnsiTheme="minorBidi" w:cstheme="minorBidi"/>
                <w:color w:val="000000"/>
                <w:sz w:val="20"/>
                <w:szCs w:val="20"/>
                <w:lang w:val="en-US" w:eastAsia="en-US"/>
              </w:rPr>
              <w:t>0</w:t>
            </w:r>
          </w:p>
        </w:tc>
        <w:tc>
          <w:tcPr>
            <w:tcW w:w="810" w:type="dxa"/>
            <w:shd w:val="clear" w:color="auto" w:fill="DAE4EC" w:themeFill="background2"/>
            <w:noWrap/>
            <w:vAlign w:val="center"/>
            <w:hideMark/>
          </w:tcPr>
          <w:p w14:paraId="2DF9C44E" w14:textId="77777777" w:rsidR="00944FF3" w:rsidRPr="00AB09CE" w:rsidRDefault="00944FF3" w:rsidP="00351CC2">
            <w:pPr>
              <w:spacing w:after="0" w:line="240" w:lineRule="auto"/>
              <w:jc w:val="center"/>
              <w:rPr>
                <w:rFonts w:asciiTheme="minorBidi" w:eastAsia="Times New Roman" w:hAnsiTheme="minorBidi" w:cstheme="minorBidi"/>
                <w:color w:val="000000"/>
                <w:sz w:val="20"/>
                <w:szCs w:val="20"/>
                <w:lang w:val="en-US" w:eastAsia="en-US"/>
              </w:rPr>
            </w:pPr>
            <w:r w:rsidRPr="00AB09CE">
              <w:rPr>
                <w:rFonts w:asciiTheme="minorBidi" w:eastAsia="Times New Roman" w:hAnsiTheme="minorBidi" w:cstheme="minorBidi"/>
                <w:color w:val="000000"/>
                <w:sz w:val="20"/>
                <w:szCs w:val="20"/>
                <w:lang w:val="en-US" w:eastAsia="en-US"/>
              </w:rPr>
              <w:t>4</w:t>
            </w:r>
          </w:p>
        </w:tc>
        <w:tc>
          <w:tcPr>
            <w:tcW w:w="900" w:type="dxa"/>
            <w:shd w:val="clear" w:color="auto" w:fill="DAE4EC" w:themeFill="background2"/>
            <w:noWrap/>
            <w:vAlign w:val="center"/>
            <w:hideMark/>
          </w:tcPr>
          <w:p w14:paraId="61ECBE79" w14:textId="77777777" w:rsidR="00944FF3" w:rsidRPr="00AB09CE" w:rsidRDefault="00944FF3" w:rsidP="00351CC2">
            <w:pPr>
              <w:spacing w:after="0" w:line="240" w:lineRule="auto"/>
              <w:jc w:val="center"/>
              <w:rPr>
                <w:rFonts w:asciiTheme="minorBidi" w:eastAsia="Times New Roman" w:hAnsiTheme="minorBidi" w:cstheme="minorBidi"/>
                <w:color w:val="000000"/>
                <w:sz w:val="20"/>
                <w:szCs w:val="20"/>
                <w:lang w:val="en-US" w:eastAsia="en-US"/>
              </w:rPr>
            </w:pPr>
            <w:r w:rsidRPr="00AB09CE">
              <w:rPr>
                <w:rFonts w:asciiTheme="minorBidi" w:eastAsia="Times New Roman" w:hAnsiTheme="minorBidi" w:cstheme="minorBidi"/>
                <w:color w:val="000000"/>
                <w:sz w:val="20"/>
                <w:szCs w:val="20"/>
                <w:lang w:val="en-US" w:eastAsia="en-US"/>
              </w:rPr>
              <w:t>4</w:t>
            </w:r>
          </w:p>
        </w:tc>
        <w:tc>
          <w:tcPr>
            <w:tcW w:w="990" w:type="dxa"/>
            <w:shd w:val="clear" w:color="auto" w:fill="DAE4EC" w:themeFill="background2"/>
            <w:noWrap/>
            <w:vAlign w:val="center"/>
            <w:hideMark/>
          </w:tcPr>
          <w:p w14:paraId="52541580" w14:textId="77777777" w:rsidR="00944FF3" w:rsidRPr="00AB09CE" w:rsidRDefault="00944FF3" w:rsidP="00351CC2">
            <w:pPr>
              <w:spacing w:after="0" w:line="240" w:lineRule="auto"/>
              <w:jc w:val="center"/>
              <w:rPr>
                <w:rFonts w:asciiTheme="minorBidi" w:eastAsia="Times New Roman" w:hAnsiTheme="minorBidi" w:cstheme="minorBidi"/>
                <w:color w:val="000000"/>
                <w:sz w:val="20"/>
                <w:szCs w:val="20"/>
                <w:lang w:val="en-US" w:eastAsia="en-US"/>
              </w:rPr>
            </w:pPr>
            <w:r w:rsidRPr="00AB09CE">
              <w:rPr>
                <w:rFonts w:asciiTheme="minorBidi" w:eastAsia="Times New Roman" w:hAnsiTheme="minorBidi" w:cstheme="minorBidi"/>
                <w:color w:val="000000"/>
                <w:sz w:val="20"/>
                <w:szCs w:val="20"/>
                <w:lang w:val="en-US" w:eastAsia="en-US"/>
              </w:rPr>
              <w:t>0</w:t>
            </w:r>
          </w:p>
        </w:tc>
        <w:tc>
          <w:tcPr>
            <w:tcW w:w="810" w:type="dxa"/>
            <w:shd w:val="clear" w:color="auto" w:fill="DAE4EC" w:themeFill="background2"/>
            <w:noWrap/>
            <w:vAlign w:val="center"/>
            <w:hideMark/>
          </w:tcPr>
          <w:p w14:paraId="7EC9BEC4" w14:textId="77777777" w:rsidR="00944FF3" w:rsidRPr="00AB09CE" w:rsidRDefault="00944FF3" w:rsidP="00351CC2">
            <w:pPr>
              <w:spacing w:after="0" w:line="240" w:lineRule="auto"/>
              <w:jc w:val="center"/>
              <w:rPr>
                <w:rFonts w:asciiTheme="minorBidi" w:eastAsia="Times New Roman" w:hAnsiTheme="minorBidi" w:cstheme="minorBidi"/>
                <w:color w:val="000000"/>
                <w:sz w:val="20"/>
                <w:szCs w:val="20"/>
                <w:lang w:val="en-US" w:eastAsia="en-US"/>
              </w:rPr>
            </w:pPr>
            <w:r w:rsidRPr="00AB09CE">
              <w:rPr>
                <w:rFonts w:asciiTheme="minorBidi" w:eastAsia="Times New Roman" w:hAnsiTheme="minorBidi" w:cstheme="minorBidi"/>
                <w:color w:val="000000"/>
                <w:sz w:val="20"/>
                <w:szCs w:val="20"/>
                <w:lang w:val="en-US" w:eastAsia="en-US"/>
              </w:rPr>
              <w:t>8</w:t>
            </w:r>
          </w:p>
        </w:tc>
        <w:tc>
          <w:tcPr>
            <w:tcW w:w="990" w:type="dxa"/>
            <w:shd w:val="clear" w:color="auto" w:fill="DAE4EC" w:themeFill="background2"/>
            <w:noWrap/>
            <w:vAlign w:val="center"/>
            <w:hideMark/>
          </w:tcPr>
          <w:p w14:paraId="1CA85B4B" w14:textId="77777777" w:rsidR="00944FF3" w:rsidRPr="00AB09CE" w:rsidRDefault="00944FF3" w:rsidP="00351CC2">
            <w:pPr>
              <w:spacing w:after="0" w:line="240" w:lineRule="auto"/>
              <w:jc w:val="center"/>
              <w:rPr>
                <w:rFonts w:asciiTheme="minorBidi" w:eastAsia="Times New Roman" w:hAnsiTheme="minorBidi" w:cstheme="minorBidi"/>
                <w:color w:val="000000"/>
                <w:sz w:val="20"/>
                <w:szCs w:val="20"/>
                <w:lang w:val="en-US" w:eastAsia="en-US"/>
              </w:rPr>
            </w:pPr>
            <w:r w:rsidRPr="00AB09CE">
              <w:rPr>
                <w:rFonts w:asciiTheme="minorBidi" w:eastAsia="Times New Roman" w:hAnsiTheme="minorBidi" w:cstheme="minorBidi"/>
                <w:color w:val="000000"/>
                <w:sz w:val="20"/>
                <w:szCs w:val="20"/>
                <w:lang w:val="en-US" w:eastAsia="en-US"/>
              </w:rPr>
              <w:t>8</w:t>
            </w:r>
          </w:p>
        </w:tc>
        <w:tc>
          <w:tcPr>
            <w:tcW w:w="810" w:type="dxa"/>
            <w:shd w:val="clear" w:color="auto" w:fill="DAE4EC" w:themeFill="background2"/>
            <w:noWrap/>
            <w:vAlign w:val="center"/>
            <w:hideMark/>
          </w:tcPr>
          <w:p w14:paraId="01C309EB" w14:textId="77777777" w:rsidR="00944FF3" w:rsidRPr="00AB09CE" w:rsidRDefault="00944FF3" w:rsidP="00351CC2">
            <w:pPr>
              <w:spacing w:after="0" w:line="240" w:lineRule="auto"/>
              <w:jc w:val="center"/>
              <w:rPr>
                <w:rFonts w:asciiTheme="minorBidi" w:eastAsia="Times New Roman" w:hAnsiTheme="minorBidi" w:cstheme="minorBidi"/>
                <w:color w:val="000000"/>
                <w:sz w:val="20"/>
                <w:szCs w:val="20"/>
                <w:lang w:val="en-US" w:eastAsia="en-US"/>
              </w:rPr>
            </w:pPr>
            <w:r w:rsidRPr="00AB09CE">
              <w:rPr>
                <w:rFonts w:asciiTheme="minorBidi" w:eastAsia="Times New Roman" w:hAnsiTheme="minorBidi" w:cstheme="minorBidi"/>
                <w:color w:val="000000"/>
                <w:sz w:val="20"/>
                <w:szCs w:val="20"/>
                <w:lang w:val="en-US" w:eastAsia="en-US"/>
              </w:rPr>
              <w:t>12</w:t>
            </w:r>
          </w:p>
        </w:tc>
        <w:tc>
          <w:tcPr>
            <w:tcW w:w="900" w:type="dxa"/>
            <w:shd w:val="clear" w:color="auto" w:fill="DAE4EC" w:themeFill="background2"/>
          </w:tcPr>
          <w:p w14:paraId="32601C4B" w14:textId="77777777" w:rsidR="00944FF3" w:rsidRPr="00AB09CE" w:rsidRDefault="00944FF3" w:rsidP="00351CC2">
            <w:pPr>
              <w:spacing w:after="0" w:line="240" w:lineRule="auto"/>
              <w:jc w:val="center"/>
              <w:rPr>
                <w:rFonts w:asciiTheme="minorBidi" w:eastAsia="Times New Roman" w:hAnsiTheme="minorBidi" w:cstheme="minorBidi"/>
                <w:color w:val="000000"/>
                <w:sz w:val="20"/>
                <w:szCs w:val="20"/>
                <w:lang w:val="en-US" w:eastAsia="en-US"/>
              </w:rPr>
            </w:pPr>
            <w:r>
              <w:rPr>
                <w:rFonts w:asciiTheme="minorBidi" w:eastAsia="Times New Roman" w:hAnsiTheme="minorBidi" w:cstheme="minorBidi"/>
                <w:color w:val="000000"/>
                <w:sz w:val="20"/>
                <w:szCs w:val="20"/>
                <w:lang w:val="en-US" w:eastAsia="en-US"/>
              </w:rPr>
              <w:t>2.2%</w:t>
            </w:r>
          </w:p>
        </w:tc>
      </w:tr>
      <w:tr w:rsidR="00944FF3" w:rsidRPr="00AB09CE" w14:paraId="7C22B700" w14:textId="77777777" w:rsidTr="003C76B8">
        <w:trPr>
          <w:trHeight w:val="290"/>
        </w:trPr>
        <w:tc>
          <w:tcPr>
            <w:tcW w:w="1960" w:type="dxa"/>
            <w:shd w:val="clear" w:color="auto" w:fill="DAE4EC" w:themeFill="background2"/>
            <w:vAlign w:val="center"/>
            <w:hideMark/>
          </w:tcPr>
          <w:p w14:paraId="68CA74CA" w14:textId="77777777" w:rsidR="00944FF3" w:rsidRPr="00AB09CE" w:rsidRDefault="00944FF3" w:rsidP="00351CC2">
            <w:pPr>
              <w:spacing w:after="0" w:line="240" w:lineRule="auto"/>
              <w:rPr>
                <w:rFonts w:asciiTheme="minorBidi" w:eastAsia="Times New Roman" w:hAnsiTheme="minorBidi" w:cstheme="minorBidi"/>
                <w:b/>
                <w:bCs/>
                <w:color w:val="0B1F51"/>
                <w:sz w:val="20"/>
                <w:szCs w:val="20"/>
                <w:lang w:val="en-US" w:eastAsia="en-US"/>
              </w:rPr>
            </w:pPr>
            <w:r w:rsidRPr="00AB09CE">
              <w:rPr>
                <w:rFonts w:asciiTheme="minorBidi" w:eastAsia="Times New Roman" w:hAnsiTheme="minorBidi" w:cstheme="minorBidi"/>
                <w:b/>
                <w:bCs/>
                <w:color w:val="0B1F51"/>
                <w:sz w:val="20"/>
                <w:szCs w:val="20"/>
                <w:lang w:val="en-US" w:eastAsia="en-US"/>
              </w:rPr>
              <w:t>1 to 04 yrs.</w:t>
            </w:r>
          </w:p>
        </w:tc>
        <w:tc>
          <w:tcPr>
            <w:tcW w:w="1005" w:type="dxa"/>
            <w:shd w:val="clear" w:color="auto" w:fill="DAE4EC" w:themeFill="background2"/>
            <w:noWrap/>
            <w:vAlign w:val="center"/>
            <w:hideMark/>
          </w:tcPr>
          <w:p w14:paraId="39EF6637" w14:textId="77777777" w:rsidR="00944FF3" w:rsidRPr="00AB09CE" w:rsidRDefault="00944FF3" w:rsidP="00351CC2">
            <w:pPr>
              <w:spacing w:after="0" w:line="240" w:lineRule="auto"/>
              <w:jc w:val="center"/>
              <w:rPr>
                <w:rFonts w:asciiTheme="minorBidi" w:eastAsia="Times New Roman" w:hAnsiTheme="minorBidi" w:cstheme="minorBidi"/>
                <w:color w:val="000000"/>
                <w:sz w:val="20"/>
                <w:szCs w:val="20"/>
                <w:lang w:val="en-US" w:eastAsia="en-US"/>
              </w:rPr>
            </w:pPr>
            <w:r w:rsidRPr="00AB09CE">
              <w:rPr>
                <w:rFonts w:asciiTheme="minorBidi" w:eastAsia="Times New Roman" w:hAnsiTheme="minorBidi" w:cstheme="minorBidi"/>
                <w:color w:val="000000"/>
                <w:sz w:val="20"/>
                <w:szCs w:val="20"/>
                <w:lang w:val="en-US" w:eastAsia="en-US"/>
              </w:rPr>
              <w:t>0</w:t>
            </w:r>
          </w:p>
        </w:tc>
        <w:tc>
          <w:tcPr>
            <w:tcW w:w="810" w:type="dxa"/>
            <w:shd w:val="clear" w:color="auto" w:fill="DAE4EC" w:themeFill="background2"/>
            <w:noWrap/>
            <w:vAlign w:val="center"/>
            <w:hideMark/>
          </w:tcPr>
          <w:p w14:paraId="303116FC" w14:textId="77777777" w:rsidR="00944FF3" w:rsidRPr="00AB09CE" w:rsidRDefault="00944FF3" w:rsidP="00351CC2">
            <w:pPr>
              <w:spacing w:after="0" w:line="240" w:lineRule="auto"/>
              <w:jc w:val="center"/>
              <w:rPr>
                <w:rFonts w:asciiTheme="minorBidi" w:eastAsia="Times New Roman" w:hAnsiTheme="minorBidi" w:cstheme="minorBidi"/>
                <w:color w:val="000000"/>
                <w:sz w:val="20"/>
                <w:szCs w:val="20"/>
                <w:lang w:val="en-US" w:eastAsia="en-US"/>
              </w:rPr>
            </w:pPr>
            <w:r w:rsidRPr="00AB09CE">
              <w:rPr>
                <w:rFonts w:asciiTheme="minorBidi" w:eastAsia="Times New Roman" w:hAnsiTheme="minorBidi" w:cstheme="minorBidi"/>
                <w:color w:val="000000"/>
                <w:sz w:val="20"/>
                <w:szCs w:val="20"/>
                <w:lang w:val="en-US" w:eastAsia="en-US"/>
              </w:rPr>
              <w:t>21</w:t>
            </w:r>
          </w:p>
        </w:tc>
        <w:tc>
          <w:tcPr>
            <w:tcW w:w="900" w:type="dxa"/>
            <w:shd w:val="clear" w:color="auto" w:fill="DAE4EC" w:themeFill="background2"/>
            <w:noWrap/>
            <w:vAlign w:val="center"/>
            <w:hideMark/>
          </w:tcPr>
          <w:p w14:paraId="664B9491" w14:textId="77777777" w:rsidR="00944FF3" w:rsidRPr="00AB09CE" w:rsidRDefault="00944FF3" w:rsidP="00351CC2">
            <w:pPr>
              <w:spacing w:after="0" w:line="240" w:lineRule="auto"/>
              <w:jc w:val="center"/>
              <w:rPr>
                <w:rFonts w:asciiTheme="minorBidi" w:eastAsia="Times New Roman" w:hAnsiTheme="minorBidi" w:cstheme="minorBidi"/>
                <w:color w:val="000000"/>
                <w:sz w:val="20"/>
                <w:szCs w:val="20"/>
                <w:lang w:val="en-US" w:eastAsia="en-US"/>
              </w:rPr>
            </w:pPr>
            <w:r w:rsidRPr="00AB09CE">
              <w:rPr>
                <w:rFonts w:asciiTheme="minorBidi" w:eastAsia="Times New Roman" w:hAnsiTheme="minorBidi" w:cstheme="minorBidi"/>
                <w:color w:val="000000"/>
                <w:sz w:val="20"/>
                <w:szCs w:val="20"/>
                <w:lang w:val="en-US" w:eastAsia="en-US"/>
              </w:rPr>
              <w:t>21</w:t>
            </w:r>
          </w:p>
        </w:tc>
        <w:tc>
          <w:tcPr>
            <w:tcW w:w="990" w:type="dxa"/>
            <w:shd w:val="clear" w:color="auto" w:fill="DAE4EC" w:themeFill="background2"/>
            <w:noWrap/>
            <w:vAlign w:val="center"/>
            <w:hideMark/>
          </w:tcPr>
          <w:p w14:paraId="7C8F6267" w14:textId="77777777" w:rsidR="00944FF3" w:rsidRPr="00AB09CE" w:rsidRDefault="00944FF3" w:rsidP="00351CC2">
            <w:pPr>
              <w:spacing w:after="0" w:line="240" w:lineRule="auto"/>
              <w:jc w:val="center"/>
              <w:rPr>
                <w:rFonts w:asciiTheme="minorBidi" w:eastAsia="Times New Roman" w:hAnsiTheme="minorBidi" w:cstheme="minorBidi"/>
                <w:color w:val="000000"/>
                <w:sz w:val="20"/>
                <w:szCs w:val="20"/>
                <w:lang w:val="en-US" w:eastAsia="en-US"/>
              </w:rPr>
            </w:pPr>
            <w:r w:rsidRPr="00AB09CE">
              <w:rPr>
                <w:rFonts w:asciiTheme="minorBidi" w:eastAsia="Times New Roman" w:hAnsiTheme="minorBidi" w:cstheme="minorBidi"/>
                <w:color w:val="000000"/>
                <w:sz w:val="20"/>
                <w:szCs w:val="20"/>
                <w:lang w:val="en-US" w:eastAsia="en-US"/>
              </w:rPr>
              <w:t>0</w:t>
            </w:r>
          </w:p>
        </w:tc>
        <w:tc>
          <w:tcPr>
            <w:tcW w:w="810" w:type="dxa"/>
            <w:shd w:val="clear" w:color="auto" w:fill="DAE4EC" w:themeFill="background2"/>
            <w:noWrap/>
            <w:vAlign w:val="center"/>
            <w:hideMark/>
          </w:tcPr>
          <w:p w14:paraId="23BF008E" w14:textId="77777777" w:rsidR="00944FF3" w:rsidRPr="00AB09CE" w:rsidRDefault="00944FF3" w:rsidP="00351CC2">
            <w:pPr>
              <w:spacing w:after="0" w:line="240" w:lineRule="auto"/>
              <w:jc w:val="center"/>
              <w:rPr>
                <w:rFonts w:asciiTheme="minorBidi" w:eastAsia="Times New Roman" w:hAnsiTheme="minorBidi" w:cstheme="minorBidi"/>
                <w:color w:val="000000"/>
                <w:sz w:val="20"/>
                <w:szCs w:val="20"/>
                <w:lang w:val="en-US" w:eastAsia="en-US"/>
              </w:rPr>
            </w:pPr>
            <w:r w:rsidRPr="00AB09CE">
              <w:rPr>
                <w:rFonts w:asciiTheme="minorBidi" w:eastAsia="Times New Roman" w:hAnsiTheme="minorBidi" w:cstheme="minorBidi"/>
                <w:color w:val="000000"/>
                <w:sz w:val="20"/>
                <w:szCs w:val="20"/>
                <w:lang w:val="en-US" w:eastAsia="en-US"/>
              </w:rPr>
              <w:t>24</w:t>
            </w:r>
          </w:p>
        </w:tc>
        <w:tc>
          <w:tcPr>
            <w:tcW w:w="990" w:type="dxa"/>
            <w:shd w:val="clear" w:color="auto" w:fill="DAE4EC" w:themeFill="background2"/>
            <w:noWrap/>
            <w:vAlign w:val="center"/>
            <w:hideMark/>
          </w:tcPr>
          <w:p w14:paraId="71851A3B" w14:textId="77777777" w:rsidR="00944FF3" w:rsidRPr="00AB09CE" w:rsidRDefault="00944FF3" w:rsidP="00351CC2">
            <w:pPr>
              <w:spacing w:after="0" w:line="240" w:lineRule="auto"/>
              <w:jc w:val="center"/>
              <w:rPr>
                <w:rFonts w:asciiTheme="minorBidi" w:eastAsia="Times New Roman" w:hAnsiTheme="minorBidi" w:cstheme="minorBidi"/>
                <w:color w:val="000000"/>
                <w:sz w:val="20"/>
                <w:szCs w:val="20"/>
                <w:lang w:val="en-US" w:eastAsia="en-US"/>
              </w:rPr>
            </w:pPr>
            <w:r w:rsidRPr="00AB09CE">
              <w:rPr>
                <w:rFonts w:asciiTheme="minorBidi" w:eastAsia="Times New Roman" w:hAnsiTheme="minorBidi" w:cstheme="minorBidi"/>
                <w:color w:val="000000"/>
                <w:sz w:val="20"/>
                <w:szCs w:val="20"/>
                <w:lang w:val="en-US" w:eastAsia="en-US"/>
              </w:rPr>
              <w:t>24</w:t>
            </w:r>
          </w:p>
        </w:tc>
        <w:tc>
          <w:tcPr>
            <w:tcW w:w="810" w:type="dxa"/>
            <w:shd w:val="clear" w:color="auto" w:fill="DAE4EC" w:themeFill="background2"/>
            <w:noWrap/>
            <w:vAlign w:val="center"/>
            <w:hideMark/>
          </w:tcPr>
          <w:p w14:paraId="1A4C30B0" w14:textId="77777777" w:rsidR="00944FF3" w:rsidRPr="00AB09CE" w:rsidRDefault="00944FF3" w:rsidP="00351CC2">
            <w:pPr>
              <w:spacing w:after="0" w:line="240" w:lineRule="auto"/>
              <w:jc w:val="center"/>
              <w:rPr>
                <w:rFonts w:asciiTheme="minorBidi" w:eastAsia="Times New Roman" w:hAnsiTheme="minorBidi" w:cstheme="minorBidi"/>
                <w:color w:val="000000"/>
                <w:sz w:val="20"/>
                <w:szCs w:val="20"/>
                <w:lang w:val="en-US" w:eastAsia="en-US"/>
              </w:rPr>
            </w:pPr>
            <w:r w:rsidRPr="00AB09CE">
              <w:rPr>
                <w:rFonts w:asciiTheme="minorBidi" w:eastAsia="Times New Roman" w:hAnsiTheme="minorBidi" w:cstheme="minorBidi"/>
                <w:color w:val="000000"/>
                <w:sz w:val="20"/>
                <w:szCs w:val="20"/>
                <w:lang w:val="en-US" w:eastAsia="en-US"/>
              </w:rPr>
              <w:t>45</w:t>
            </w:r>
          </w:p>
        </w:tc>
        <w:tc>
          <w:tcPr>
            <w:tcW w:w="900" w:type="dxa"/>
            <w:shd w:val="clear" w:color="auto" w:fill="DAE4EC" w:themeFill="background2"/>
          </w:tcPr>
          <w:p w14:paraId="77F48F19" w14:textId="77777777" w:rsidR="00944FF3" w:rsidRPr="00AB09CE" w:rsidRDefault="00944FF3" w:rsidP="00351CC2">
            <w:pPr>
              <w:spacing w:after="0" w:line="240" w:lineRule="auto"/>
              <w:jc w:val="center"/>
              <w:rPr>
                <w:rFonts w:asciiTheme="minorBidi" w:eastAsia="Times New Roman" w:hAnsiTheme="minorBidi" w:cstheme="minorBidi"/>
                <w:color w:val="000000"/>
                <w:sz w:val="20"/>
                <w:szCs w:val="20"/>
                <w:lang w:val="en-US" w:eastAsia="en-US"/>
              </w:rPr>
            </w:pPr>
            <w:r>
              <w:rPr>
                <w:rFonts w:asciiTheme="minorBidi" w:eastAsia="Times New Roman" w:hAnsiTheme="minorBidi" w:cstheme="minorBidi"/>
                <w:color w:val="000000"/>
                <w:sz w:val="20"/>
                <w:szCs w:val="20"/>
                <w:lang w:val="en-US" w:eastAsia="en-US"/>
              </w:rPr>
              <w:t>8.3%</w:t>
            </w:r>
          </w:p>
        </w:tc>
      </w:tr>
      <w:tr w:rsidR="00944FF3" w:rsidRPr="00AB09CE" w14:paraId="3C529C39" w14:textId="77777777" w:rsidTr="003C76B8">
        <w:trPr>
          <w:trHeight w:val="290"/>
        </w:trPr>
        <w:tc>
          <w:tcPr>
            <w:tcW w:w="1960" w:type="dxa"/>
            <w:shd w:val="clear" w:color="auto" w:fill="DAE4EC" w:themeFill="background2"/>
            <w:noWrap/>
            <w:vAlign w:val="center"/>
            <w:hideMark/>
          </w:tcPr>
          <w:p w14:paraId="5AD38431" w14:textId="77777777" w:rsidR="00944FF3" w:rsidRPr="00AB09CE" w:rsidRDefault="00944FF3" w:rsidP="00351CC2">
            <w:pPr>
              <w:spacing w:after="0" w:line="240" w:lineRule="auto"/>
              <w:rPr>
                <w:rFonts w:asciiTheme="minorBidi" w:eastAsia="Times New Roman" w:hAnsiTheme="minorBidi" w:cstheme="minorBidi"/>
                <w:b/>
                <w:bCs/>
                <w:color w:val="0B1F51"/>
                <w:sz w:val="20"/>
                <w:szCs w:val="20"/>
                <w:lang w:val="en-US" w:eastAsia="en-US"/>
              </w:rPr>
            </w:pPr>
            <w:r w:rsidRPr="00AB09CE">
              <w:rPr>
                <w:rFonts w:asciiTheme="minorBidi" w:eastAsia="Times New Roman" w:hAnsiTheme="minorBidi" w:cstheme="minorBidi"/>
                <w:b/>
                <w:bCs/>
                <w:color w:val="0B1F51"/>
                <w:sz w:val="20"/>
                <w:szCs w:val="20"/>
                <w:lang w:val="en-US" w:eastAsia="en-US"/>
              </w:rPr>
              <w:t>5 to 14 yrs.</w:t>
            </w:r>
          </w:p>
        </w:tc>
        <w:tc>
          <w:tcPr>
            <w:tcW w:w="1005" w:type="dxa"/>
            <w:shd w:val="clear" w:color="auto" w:fill="DAE4EC" w:themeFill="background2"/>
            <w:noWrap/>
            <w:vAlign w:val="center"/>
            <w:hideMark/>
          </w:tcPr>
          <w:p w14:paraId="7F833C1D" w14:textId="77777777" w:rsidR="00944FF3" w:rsidRPr="00AB09CE" w:rsidRDefault="00944FF3" w:rsidP="00351CC2">
            <w:pPr>
              <w:spacing w:after="0" w:line="240" w:lineRule="auto"/>
              <w:jc w:val="center"/>
              <w:rPr>
                <w:rFonts w:asciiTheme="minorBidi" w:eastAsia="Times New Roman" w:hAnsiTheme="minorBidi" w:cstheme="minorBidi"/>
                <w:color w:val="000000"/>
                <w:sz w:val="20"/>
                <w:szCs w:val="20"/>
                <w:lang w:val="en-US" w:eastAsia="en-US"/>
              </w:rPr>
            </w:pPr>
            <w:r w:rsidRPr="00AB09CE">
              <w:rPr>
                <w:rFonts w:asciiTheme="minorBidi" w:eastAsia="Times New Roman" w:hAnsiTheme="minorBidi" w:cstheme="minorBidi"/>
                <w:color w:val="000000"/>
                <w:sz w:val="20"/>
                <w:szCs w:val="20"/>
                <w:lang w:val="en-US" w:eastAsia="en-US"/>
              </w:rPr>
              <w:t>29</w:t>
            </w:r>
          </w:p>
        </w:tc>
        <w:tc>
          <w:tcPr>
            <w:tcW w:w="810" w:type="dxa"/>
            <w:shd w:val="clear" w:color="auto" w:fill="DAE4EC" w:themeFill="background2"/>
            <w:noWrap/>
            <w:vAlign w:val="center"/>
            <w:hideMark/>
          </w:tcPr>
          <w:p w14:paraId="68A62F73" w14:textId="77777777" w:rsidR="00944FF3" w:rsidRPr="00AB09CE" w:rsidRDefault="00944FF3" w:rsidP="00351CC2">
            <w:pPr>
              <w:spacing w:after="0" w:line="240" w:lineRule="auto"/>
              <w:jc w:val="center"/>
              <w:rPr>
                <w:rFonts w:asciiTheme="minorBidi" w:eastAsia="Times New Roman" w:hAnsiTheme="minorBidi" w:cstheme="minorBidi"/>
                <w:color w:val="000000"/>
                <w:sz w:val="20"/>
                <w:szCs w:val="20"/>
                <w:lang w:val="en-US" w:eastAsia="en-US"/>
              </w:rPr>
            </w:pPr>
            <w:r w:rsidRPr="00AB09CE">
              <w:rPr>
                <w:rFonts w:asciiTheme="minorBidi" w:eastAsia="Times New Roman" w:hAnsiTheme="minorBidi" w:cstheme="minorBidi"/>
                <w:color w:val="000000"/>
                <w:sz w:val="20"/>
                <w:szCs w:val="20"/>
                <w:lang w:val="en-US" w:eastAsia="en-US"/>
              </w:rPr>
              <w:t>15</w:t>
            </w:r>
          </w:p>
        </w:tc>
        <w:tc>
          <w:tcPr>
            <w:tcW w:w="900" w:type="dxa"/>
            <w:shd w:val="clear" w:color="auto" w:fill="DAE4EC" w:themeFill="background2"/>
            <w:noWrap/>
            <w:vAlign w:val="center"/>
            <w:hideMark/>
          </w:tcPr>
          <w:p w14:paraId="4A7745FD" w14:textId="77777777" w:rsidR="00944FF3" w:rsidRPr="00AB09CE" w:rsidRDefault="00944FF3" w:rsidP="00351CC2">
            <w:pPr>
              <w:spacing w:after="0" w:line="240" w:lineRule="auto"/>
              <w:jc w:val="center"/>
              <w:rPr>
                <w:rFonts w:asciiTheme="minorBidi" w:eastAsia="Times New Roman" w:hAnsiTheme="minorBidi" w:cstheme="minorBidi"/>
                <w:color w:val="000000"/>
                <w:sz w:val="20"/>
                <w:szCs w:val="20"/>
                <w:lang w:val="en-US" w:eastAsia="en-US"/>
              </w:rPr>
            </w:pPr>
            <w:r w:rsidRPr="00AB09CE">
              <w:rPr>
                <w:rFonts w:asciiTheme="minorBidi" w:eastAsia="Times New Roman" w:hAnsiTheme="minorBidi" w:cstheme="minorBidi"/>
                <w:color w:val="000000"/>
                <w:sz w:val="20"/>
                <w:szCs w:val="20"/>
                <w:lang w:val="en-US" w:eastAsia="en-US"/>
              </w:rPr>
              <w:t>44</w:t>
            </w:r>
          </w:p>
        </w:tc>
        <w:tc>
          <w:tcPr>
            <w:tcW w:w="990" w:type="dxa"/>
            <w:shd w:val="clear" w:color="auto" w:fill="DAE4EC" w:themeFill="background2"/>
            <w:noWrap/>
            <w:vAlign w:val="center"/>
            <w:hideMark/>
          </w:tcPr>
          <w:p w14:paraId="5CC4D460" w14:textId="77777777" w:rsidR="00944FF3" w:rsidRPr="00AB09CE" w:rsidRDefault="00944FF3" w:rsidP="00351CC2">
            <w:pPr>
              <w:spacing w:after="0" w:line="240" w:lineRule="auto"/>
              <w:jc w:val="center"/>
              <w:rPr>
                <w:rFonts w:asciiTheme="minorBidi" w:eastAsia="Times New Roman" w:hAnsiTheme="minorBidi" w:cstheme="minorBidi"/>
                <w:color w:val="000000"/>
                <w:sz w:val="20"/>
                <w:szCs w:val="20"/>
                <w:lang w:val="en-US" w:eastAsia="en-US"/>
              </w:rPr>
            </w:pPr>
            <w:r w:rsidRPr="00AB09CE">
              <w:rPr>
                <w:rFonts w:asciiTheme="minorBidi" w:eastAsia="Times New Roman" w:hAnsiTheme="minorBidi" w:cstheme="minorBidi"/>
                <w:color w:val="000000"/>
                <w:sz w:val="20"/>
                <w:szCs w:val="20"/>
                <w:lang w:val="en-US" w:eastAsia="en-US"/>
              </w:rPr>
              <w:t>12</w:t>
            </w:r>
          </w:p>
        </w:tc>
        <w:tc>
          <w:tcPr>
            <w:tcW w:w="810" w:type="dxa"/>
            <w:shd w:val="clear" w:color="auto" w:fill="DAE4EC" w:themeFill="background2"/>
            <w:noWrap/>
            <w:vAlign w:val="center"/>
            <w:hideMark/>
          </w:tcPr>
          <w:p w14:paraId="06143C13" w14:textId="77777777" w:rsidR="00944FF3" w:rsidRPr="00AB09CE" w:rsidRDefault="00944FF3" w:rsidP="00351CC2">
            <w:pPr>
              <w:spacing w:after="0" w:line="240" w:lineRule="auto"/>
              <w:jc w:val="center"/>
              <w:rPr>
                <w:rFonts w:asciiTheme="minorBidi" w:eastAsia="Times New Roman" w:hAnsiTheme="minorBidi" w:cstheme="minorBidi"/>
                <w:color w:val="000000"/>
                <w:sz w:val="20"/>
                <w:szCs w:val="20"/>
                <w:lang w:val="en-US" w:eastAsia="en-US"/>
              </w:rPr>
            </w:pPr>
            <w:r w:rsidRPr="00AB09CE">
              <w:rPr>
                <w:rFonts w:asciiTheme="minorBidi" w:eastAsia="Times New Roman" w:hAnsiTheme="minorBidi" w:cstheme="minorBidi"/>
                <w:color w:val="000000"/>
                <w:sz w:val="20"/>
                <w:szCs w:val="20"/>
                <w:lang w:val="en-US" w:eastAsia="en-US"/>
              </w:rPr>
              <w:t>15</w:t>
            </w:r>
          </w:p>
        </w:tc>
        <w:tc>
          <w:tcPr>
            <w:tcW w:w="990" w:type="dxa"/>
            <w:shd w:val="clear" w:color="auto" w:fill="DAE4EC" w:themeFill="background2"/>
            <w:noWrap/>
            <w:vAlign w:val="center"/>
            <w:hideMark/>
          </w:tcPr>
          <w:p w14:paraId="5151462B" w14:textId="77777777" w:rsidR="00944FF3" w:rsidRPr="00AB09CE" w:rsidRDefault="00944FF3" w:rsidP="00351CC2">
            <w:pPr>
              <w:spacing w:after="0" w:line="240" w:lineRule="auto"/>
              <w:jc w:val="center"/>
              <w:rPr>
                <w:rFonts w:asciiTheme="minorBidi" w:eastAsia="Times New Roman" w:hAnsiTheme="minorBidi" w:cstheme="minorBidi"/>
                <w:color w:val="000000"/>
                <w:sz w:val="20"/>
                <w:szCs w:val="20"/>
                <w:lang w:val="en-US" w:eastAsia="en-US"/>
              </w:rPr>
            </w:pPr>
            <w:r w:rsidRPr="00AB09CE">
              <w:rPr>
                <w:rFonts w:asciiTheme="minorBidi" w:eastAsia="Times New Roman" w:hAnsiTheme="minorBidi" w:cstheme="minorBidi"/>
                <w:color w:val="000000"/>
                <w:sz w:val="20"/>
                <w:szCs w:val="20"/>
                <w:lang w:val="en-US" w:eastAsia="en-US"/>
              </w:rPr>
              <w:t>27</w:t>
            </w:r>
          </w:p>
        </w:tc>
        <w:tc>
          <w:tcPr>
            <w:tcW w:w="810" w:type="dxa"/>
            <w:shd w:val="clear" w:color="auto" w:fill="DAE4EC" w:themeFill="background2"/>
            <w:noWrap/>
            <w:vAlign w:val="center"/>
            <w:hideMark/>
          </w:tcPr>
          <w:p w14:paraId="35FDD256" w14:textId="77777777" w:rsidR="00944FF3" w:rsidRPr="00AB09CE" w:rsidRDefault="00944FF3" w:rsidP="00351CC2">
            <w:pPr>
              <w:spacing w:after="0" w:line="240" w:lineRule="auto"/>
              <w:jc w:val="center"/>
              <w:rPr>
                <w:rFonts w:asciiTheme="minorBidi" w:eastAsia="Times New Roman" w:hAnsiTheme="minorBidi" w:cstheme="minorBidi"/>
                <w:color w:val="000000"/>
                <w:sz w:val="20"/>
                <w:szCs w:val="20"/>
                <w:lang w:val="en-US" w:eastAsia="en-US"/>
              </w:rPr>
            </w:pPr>
            <w:r w:rsidRPr="00AB09CE">
              <w:rPr>
                <w:rFonts w:asciiTheme="minorBidi" w:eastAsia="Times New Roman" w:hAnsiTheme="minorBidi" w:cstheme="minorBidi"/>
                <w:color w:val="000000"/>
                <w:sz w:val="20"/>
                <w:szCs w:val="20"/>
                <w:lang w:val="en-US" w:eastAsia="en-US"/>
              </w:rPr>
              <w:t>71</w:t>
            </w:r>
          </w:p>
        </w:tc>
        <w:tc>
          <w:tcPr>
            <w:tcW w:w="900" w:type="dxa"/>
            <w:shd w:val="clear" w:color="auto" w:fill="DAE4EC" w:themeFill="background2"/>
          </w:tcPr>
          <w:p w14:paraId="657B0A9A" w14:textId="77777777" w:rsidR="00944FF3" w:rsidRPr="00AB09CE" w:rsidRDefault="00944FF3" w:rsidP="00351CC2">
            <w:pPr>
              <w:spacing w:after="0" w:line="240" w:lineRule="auto"/>
              <w:jc w:val="center"/>
              <w:rPr>
                <w:rFonts w:asciiTheme="minorBidi" w:eastAsia="Times New Roman" w:hAnsiTheme="minorBidi" w:cstheme="minorBidi"/>
                <w:color w:val="000000"/>
                <w:sz w:val="20"/>
                <w:szCs w:val="20"/>
                <w:lang w:val="en-US" w:eastAsia="en-US"/>
              </w:rPr>
            </w:pPr>
            <w:r>
              <w:rPr>
                <w:rFonts w:asciiTheme="minorBidi" w:eastAsia="Times New Roman" w:hAnsiTheme="minorBidi" w:cstheme="minorBidi"/>
                <w:color w:val="000000"/>
                <w:sz w:val="20"/>
                <w:szCs w:val="20"/>
                <w:lang w:val="en-US" w:eastAsia="en-US"/>
              </w:rPr>
              <w:t>13.1%</w:t>
            </w:r>
          </w:p>
        </w:tc>
      </w:tr>
      <w:tr w:rsidR="00944FF3" w:rsidRPr="00AB09CE" w14:paraId="729FC64B" w14:textId="77777777" w:rsidTr="003C76B8">
        <w:trPr>
          <w:trHeight w:val="290"/>
        </w:trPr>
        <w:tc>
          <w:tcPr>
            <w:tcW w:w="1960" w:type="dxa"/>
            <w:shd w:val="clear" w:color="auto" w:fill="DAE4EC" w:themeFill="background2"/>
            <w:vAlign w:val="center"/>
            <w:hideMark/>
          </w:tcPr>
          <w:p w14:paraId="48400E39" w14:textId="77777777" w:rsidR="00944FF3" w:rsidRPr="00AB09CE" w:rsidRDefault="00944FF3" w:rsidP="00351CC2">
            <w:pPr>
              <w:spacing w:after="0" w:line="240" w:lineRule="auto"/>
              <w:rPr>
                <w:rFonts w:asciiTheme="minorBidi" w:eastAsia="Times New Roman" w:hAnsiTheme="minorBidi" w:cstheme="minorBidi"/>
                <w:b/>
                <w:bCs/>
                <w:color w:val="0B1F51"/>
                <w:sz w:val="20"/>
                <w:szCs w:val="20"/>
                <w:lang w:val="en-US" w:eastAsia="en-US"/>
              </w:rPr>
            </w:pPr>
            <w:r w:rsidRPr="00AB09CE">
              <w:rPr>
                <w:rFonts w:asciiTheme="minorBidi" w:eastAsia="Times New Roman" w:hAnsiTheme="minorBidi" w:cstheme="minorBidi"/>
                <w:b/>
                <w:bCs/>
                <w:color w:val="0B1F51"/>
                <w:sz w:val="20"/>
                <w:szCs w:val="20"/>
                <w:lang w:val="en-US" w:eastAsia="en-US"/>
              </w:rPr>
              <w:t>15 to 49 yrs.</w:t>
            </w:r>
          </w:p>
        </w:tc>
        <w:tc>
          <w:tcPr>
            <w:tcW w:w="1005" w:type="dxa"/>
            <w:shd w:val="clear" w:color="auto" w:fill="DAE4EC" w:themeFill="background2"/>
            <w:noWrap/>
            <w:vAlign w:val="center"/>
            <w:hideMark/>
          </w:tcPr>
          <w:p w14:paraId="5C6E808A" w14:textId="77777777" w:rsidR="00944FF3" w:rsidRPr="00AB09CE" w:rsidRDefault="00944FF3" w:rsidP="00351CC2">
            <w:pPr>
              <w:spacing w:after="0" w:line="240" w:lineRule="auto"/>
              <w:jc w:val="center"/>
              <w:rPr>
                <w:rFonts w:asciiTheme="minorBidi" w:eastAsia="Times New Roman" w:hAnsiTheme="minorBidi" w:cstheme="minorBidi"/>
                <w:color w:val="000000"/>
                <w:sz w:val="20"/>
                <w:szCs w:val="20"/>
                <w:lang w:val="en-US" w:eastAsia="en-US"/>
              </w:rPr>
            </w:pPr>
            <w:r w:rsidRPr="00AB09CE">
              <w:rPr>
                <w:rFonts w:asciiTheme="minorBidi" w:eastAsia="Times New Roman" w:hAnsiTheme="minorBidi" w:cstheme="minorBidi"/>
                <w:color w:val="000000"/>
                <w:sz w:val="20"/>
                <w:szCs w:val="20"/>
                <w:lang w:val="en-US" w:eastAsia="en-US"/>
              </w:rPr>
              <w:t>83</w:t>
            </w:r>
          </w:p>
        </w:tc>
        <w:tc>
          <w:tcPr>
            <w:tcW w:w="810" w:type="dxa"/>
            <w:shd w:val="clear" w:color="auto" w:fill="DAE4EC" w:themeFill="background2"/>
            <w:noWrap/>
            <w:vAlign w:val="center"/>
            <w:hideMark/>
          </w:tcPr>
          <w:p w14:paraId="16461430" w14:textId="77777777" w:rsidR="00944FF3" w:rsidRPr="00AB09CE" w:rsidRDefault="00944FF3" w:rsidP="00351CC2">
            <w:pPr>
              <w:spacing w:after="0" w:line="240" w:lineRule="auto"/>
              <w:jc w:val="center"/>
              <w:rPr>
                <w:rFonts w:asciiTheme="minorBidi" w:eastAsia="Times New Roman" w:hAnsiTheme="minorBidi" w:cstheme="minorBidi"/>
                <w:color w:val="000000"/>
                <w:sz w:val="20"/>
                <w:szCs w:val="20"/>
                <w:lang w:val="en-US" w:eastAsia="en-US"/>
              </w:rPr>
            </w:pPr>
            <w:r w:rsidRPr="00AB09CE">
              <w:rPr>
                <w:rFonts w:asciiTheme="minorBidi" w:eastAsia="Times New Roman" w:hAnsiTheme="minorBidi" w:cstheme="minorBidi"/>
                <w:color w:val="000000"/>
                <w:sz w:val="20"/>
                <w:szCs w:val="20"/>
                <w:lang w:val="en-US" w:eastAsia="en-US"/>
              </w:rPr>
              <w:t>111</w:t>
            </w:r>
          </w:p>
        </w:tc>
        <w:tc>
          <w:tcPr>
            <w:tcW w:w="900" w:type="dxa"/>
            <w:shd w:val="clear" w:color="auto" w:fill="DAE4EC" w:themeFill="background2"/>
            <w:noWrap/>
            <w:vAlign w:val="center"/>
            <w:hideMark/>
          </w:tcPr>
          <w:p w14:paraId="1981380D" w14:textId="77777777" w:rsidR="00944FF3" w:rsidRPr="00AB09CE" w:rsidRDefault="00944FF3" w:rsidP="00351CC2">
            <w:pPr>
              <w:spacing w:after="0" w:line="240" w:lineRule="auto"/>
              <w:jc w:val="center"/>
              <w:rPr>
                <w:rFonts w:asciiTheme="minorBidi" w:eastAsia="Times New Roman" w:hAnsiTheme="minorBidi" w:cstheme="minorBidi"/>
                <w:color w:val="000000"/>
                <w:sz w:val="20"/>
                <w:szCs w:val="20"/>
                <w:lang w:val="en-US" w:eastAsia="en-US"/>
              </w:rPr>
            </w:pPr>
            <w:r w:rsidRPr="00AB09CE">
              <w:rPr>
                <w:rFonts w:asciiTheme="minorBidi" w:eastAsia="Times New Roman" w:hAnsiTheme="minorBidi" w:cstheme="minorBidi"/>
                <w:color w:val="000000"/>
                <w:sz w:val="20"/>
                <w:szCs w:val="20"/>
                <w:lang w:val="en-US" w:eastAsia="en-US"/>
              </w:rPr>
              <w:t>194</w:t>
            </w:r>
          </w:p>
        </w:tc>
        <w:tc>
          <w:tcPr>
            <w:tcW w:w="990" w:type="dxa"/>
            <w:shd w:val="clear" w:color="auto" w:fill="DAE4EC" w:themeFill="background2"/>
            <w:noWrap/>
            <w:vAlign w:val="center"/>
            <w:hideMark/>
          </w:tcPr>
          <w:p w14:paraId="0D50108F" w14:textId="77777777" w:rsidR="00944FF3" w:rsidRPr="00AB09CE" w:rsidRDefault="00944FF3" w:rsidP="00351CC2">
            <w:pPr>
              <w:spacing w:after="0" w:line="240" w:lineRule="auto"/>
              <w:jc w:val="center"/>
              <w:rPr>
                <w:rFonts w:asciiTheme="minorBidi" w:eastAsia="Times New Roman" w:hAnsiTheme="minorBidi" w:cstheme="minorBidi"/>
                <w:color w:val="000000"/>
                <w:sz w:val="20"/>
                <w:szCs w:val="20"/>
                <w:lang w:val="en-US" w:eastAsia="en-US"/>
              </w:rPr>
            </w:pPr>
            <w:r w:rsidRPr="00AB09CE">
              <w:rPr>
                <w:rFonts w:asciiTheme="minorBidi" w:eastAsia="Times New Roman" w:hAnsiTheme="minorBidi" w:cstheme="minorBidi"/>
                <w:color w:val="000000"/>
                <w:sz w:val="20"/>
                <w:szCs w:val="20"/>
                <w:lang w:val="en-US" w:eastAsia="en-US"/>
              </w:rPr>
              <w:t>24</w:t>
            </w:r>
          </w:p>
        </w:tc>
        <w:tc>
          <w:tcPr>
            <w:tcW w:w="810" w:type="dxa"/>
            <w:shd w:val="clear" w:color="auto" w:fill="DAE4EC" w:themeFill="background2"/>
            <w:noWrap/>
            <w:vAlign w:val="center"/>
            <w:hideMark/>
          </w:tcPr>
          <w:p w14:paraId="5397FC83" w14:textId="77777777" w:rsidR="00944FF3" w:rsidRPr="00AB09CE" w:rsidRDefault="00944FF3" w:rsidP="00351CC2">
            <w:pPr>
              <w:spacing w:after="0" w:line="240" w:lineRule="auto"/>
              <w:jc w:val="center"/>
              <w:rPr>
                <w:rFonts w:asciiTheme="minorBidi" w:eastAsia="Times New Roman" w:hAnsiTheme="minorBidi" w:cstheme="minorBidi"/>
                <w:color w:val="000000"/>
                <w:sz w:val="20"/>
                <w:szCs w:val="20"/>
                <w:lang w:val="en-US" w:eastAsia="en-US"/>
              </w:rPr>
            </w:pPr>
            <w:r w:rsidRPr="00AB09CE">
              <w:rPr>
                <w:rFonts w:asciiTheme="minorBidi" w:eastAsia="Times New Roman" w:hAnsiTheme="minorBidi" w:cstheme="minorBidi"/>
                <w:color w:val="000000"/>
                <w:sz w:val="20"/>
                <w:szCs w:val="20"/>
                <w:lang w:val="en-US" w:eastAsia="en-US"/>
              </w:rPr>
              <w:t>40</w:t>
            </w:r>
          </w:p>
        </w:tc>
        <w:tc>
          <w:tcPr>
            <w:tcW w:w="990" w:type="dxa"/>
            <w:shd w:val="clear" w:color="auto" w:fill="DAE4EC" w:themeFill="background2"/>
            <w:noWrap/>
            <w:vAlign w:val="center"/>
            <w:hideMark/>
          </w:tcPr>
          <w:p w14:paraId="08BF2122" w14:textId="77777777" w:rsidR="00944FF3" w:rsidRPr="00AB09CE" w:rsidRDefault="00944FF3" w:rsidP="00351CC2">
            <w:pPr>
              <w:spacing w:after="0" w:line="240" w:lineRule="auto"/>
              <w:jc w:val="center"/>
              <w:rPr>
                <w:rFonts w:asciiTheme="minorBidi" w:eastAsia="Times New Roman" w:hAnsiTheme="minorBidi" w:cstheme="minorBidi"/>
                <w:color w:val="000000"/>
                <w:sz w:val="20"/>
                <w:szCs w:val="20"/>
                <w:lang w:val="en-US" w:eastAsia="en-US"/>
              </w:rPr>
            </w:pPr>
            <w:r w:rsidRPr="00AB09CE">
              <w:rPr>
                <w:rFonts w:asciiTheme="minorBidi" w:eastAsia="Times New Roman" w:hAnsiTheme="minorBidi" w:cstheme="minorBidi"/>
                <w:color w:val="000000"/>
                <w:sz w:val="20"/>
                <w:szCs w:val="20"/>
                <w:lang w:val="en-US" w:eastAsia="en-US"/>
              </w:rPr>
              <w:t>64</w:t>
            </w:r>
          </w:p>
        </w:tc>
        <w:tc>
          <w:tcPr>
            <w:tcW w:w="810" w:type="dxa"/>
            <w:shd w:val="clear" w:color="auto" w:fill="DAE4EC" w:themeFill="background2"/>
            <w:noWrap/>
            <w:vAlign w:val="center"/>
            <w:hideMark/>
          </w:tcPr>
          <w:p w14:paraId="2766CC47" w14:textId="77777777" w:rsidR="00944FF3" w:rsidRPr="00AB09CE" w:rsidRDefault="00944FF3" w:rsidP="00351CC2">
            <w:pPr>
              <w:spacing w:after="0" w:line="240" w:lineRule="auto"/>
              <w:jc w:val="center"/>
              <w:rPr>
                <w:rFonts w:asciiTheme="minorBidi" w:eastAsia="Times New Roman" w:hAnsiTheme="minorBidi" w:cstheme="minorBidi"/>
                <w:color w:val="000000"/>
                <w:sz w:val="20"/>
                <w:szCs w:val="20"/>
                <w:lang w:val="en-US" w:eastAsia="en-US"/>
              </w:rPr>
            </w:pPr>
            <w:r w:rsidRPr="00AB09CE">
              <w:rPr>
                <w:rFonts w:asciiTheme="minorBidi" w:eastAsia="Times New Roman" w:hAnsiTheme="minorBidi" w:cstheme="minorBidi"/>
                <w:color w:val="000000"/>
                <w:sz w:val="20"/>
                <w:szCs w:val="20"/>
                <w:lang w:val="en-US" w:eastAsia="en-US"/>
              </w:rPr>
              <w:t>258</w:t>
            </w:r>
          </w:p>
        </w:tc>
        <w:tc>
          <w:tcPr>
            <w:tcW w:w="900" w:type="dxa"/>
            <w:shd w:val="clear" w:color="auto" w:fill="DAE4EC" w:themeFill="background2"/>
          </w:tcPr>
          <w:p w14:paraId="2DB778BD" w14:textId="77777777" w:rsidR="00944FF3" w:rsidRPr="00AB09CE" w:rsidRDefault="00944FF3" w:rsidP="00351CC2">
            <w:pPr>
              <w:spacing w:after="0" w:line="240" w:lineRule="auto"/>
              <w:jc w:val="center"/>
              <w:rPr>
                <w:rFonts w:asciiTheme="minorBidi" w:eastAsia="Times New Roman" w:hAnsiTheme="minorBidi" w:cstheme="minorBidi"/>
                <w:color w:val="000000"/>
                <w:sz w:val="20"/>
                <w:szCs w:val="20"/>
                <w:lang w:val="en-US" w:eastAsia="en-US"/>
              </w:rPr>
            </w:pPr>
            <w:r>
              <w:rPr>
                <w:rFonts w:asciiTheme="minorBidi" w:eastAsia="Times New Roman" w:hAnsiTheme="minorBidi" w:cstheme="minorBidi"/>
                <w:color w:val="000000"/>
                <w:sz w:val="20"/>
                <w:szCs w:val="20"/>
                <w:lang w:val="en-US" w:eastAsia="en-US"/>
              </w:rPr>
              <w:t>47.7%</w:t>
            </w:r>
          </w:p>
        </w:tc>
      </w:tr>
      <w:tr w:rsidR="00944FF3" w:rsidRPr="00AB09CE" w14:paraId="5C4FF3BE" w14:textId="77777777" w:rsidTr="003C76B8">
        <w:trPr>
          <w:trHeight w:val="290"/>
        </w:trPr>
        <w:tc>
          <w:tcPr>
            <w:tcW w:w="1960" w:type="dxa"/>
            <w:shd w:val="clear" w:color="auto" w:fill="DAE4EC" w:themeFill="background2"/>
            <w:noWrap/>
            <w:vAlign w:val="center"/>
            <w:hideMark/>
          </w:tcPr>
          <w:p w14:paraId="76873111" w14:textId="77777777" w:rsidR="00944FF3" w:rsidRPr="00AB09CE" w:rsidRDefault="00944FF3" w:rsidP="00351CC2">
            <w:pPr>
              <w:spacing w:after="0" w:line="240" w:lineRule="auto"/>
              <w:rPr>
                <w:rFonts w:asciiTheme="minorBidi" w:eastAsia="Times New Roman" w:hAnsiTheme="minorBidi" w:cstheme="minorBidi"/>
                <w:b/>
                <w:bCs/>
                <w:color w:val="0B1F51"/>
                <w:sz w:val="20"/>
                <w:szCs w:val="20"/>
                <w:lang w:val="en-US" w:eastAsia="en-US"/>
              </w:rPr>
            </w:pPr>
            <w:r w:rsidRPr="00AB09CE">
              <w:rPr>
                <w:rFonts w:asciiTheme="minorBidi" w:eastAsia="Times New Roman" w:hAnsiTheme="minorBidi" w:cstheme="minorBidi"/>
                <w:b/>
                <w:bCs/>
                <w:color w:val="0B1F51"/>
                <w:sz w:val="20"/>
                <w:szCs w:val="20"/>
                <w:lang w:val="en-US" w:eastAsia="en-US"/>
              </w:rPr>
              <w:t>50 to 69 yrs.</w:t>
            </w:r>
          </w:p>
        </w:tc>
        <w:tc>
          <w:tcPr>
            <w:tcW w:w="1005" w:type="dxa"/>
            <w:shd w:val="clear" w:color="auto" w:fill="DAE4EC" w:themeFill="background2"/>
            <w:noWrap/>
            <w:vAlign w:val="center"/>
            <w:hideMark/>
          </w:tcPr>
          <w:p w14:paraId="3B7242E6" w14:textId="77777777" w:rsidR="00944FF3" w:rsidRPr="00AB09CE" w:rsidRDefault="00944FF3" w:rsidP="00351CC2">
            <w:pPr>
              <w:spacing w:after="0" w:line="240" w:lineRule="auto"/>
              <w:jc w:val="center"/>
              <w:rPr>
                <w:rFonts w:asciiTheme="minorBidi" w:eastAsia="Times New Roman" w:hAnsiTheme="minorBidi" w:cstheme="minorBidi"/>
                <w:color w:val="000000"/>
                <w:sz w:val="20"/>
                <w:szCs w:val="20"/>
                <w:lang w:val="en-US" w:eastAsia="en-US"/>
              </w:rPr>
            </w:pPr>
            <w:r w:rsidRPr="00AB09CE">
              <w:rPr>
                <w:rFonts w:asciiTheme="minorBidi" w:eastAsia="Times New Roman" w:hAnsiTheme="minorBidi" w:cstheme="minorBidi"/>
                <w:color w:val="000000"/>
                <w:sz w:val="20"/>
                <w:szCs w:val="20"/>
                <w:lang w:val="en-US" w:eastAsia="en-US"/>
              </w:rPr>
              <w:t>18</w:t>
            </w:r>
          </w:p>
        </w:tc>
        <w:tc>
          <w:tcPr>
            <w:tcW w:w="810" w:type="dxa"/>
            <w:shd w:val="clear" w:color="auto" w:fill="DAE4EC" w:themeFill="background2"/>
            <w:noWrap/>
            <w:vAlign w:val="center"/>
            <w:hideMark/>
          </w:tcPr>
          <w:p w14:paraId="297D56C9" w14:textId="77777777" w:rsidR="00944FF3" w:rsidRPr="00AB09CE" w:rsidRDefault="00944FF3" w:rsidP="00351CC2">
            <w:pPr>
              <w:spacing w:after="0" w:line="240" w:lineRule="auto"/>
              <w:jc w:val="center"/>
              <w:rPr>
                <w:rFonts w:asciiTheme="minorBidi" w:eastAsia="Times New Roman" w:hAnsiTheme="minorBidi" w:cstheme="minorBidi"/>
                <w:color w:val="000000"/>
                <w:sz w:val="20"/>
                <w:szCs w:val="20"/>
                <w:lang w:val="en-US" w:eastAsia="en-US"/>
              </w:rPr>
            </w:pPr>
            <w:r w:rsidRPr="00AB09CE">
              <w:rPr>
                <w:rFonts w:asciiTheme="minorBidi" w:eastAsia="Times New Roman" w:hAnsiTheme="minorBidi" w:cstheme="minorBidi"/>
                <w:color w:val="000000"/>
                <w:sz w:val="20"/>
                <w:szCs w:val="20"/>
                <w:lang w:val="en-US" w:eastAsia="en-US"/>
              </w:rPr>
              <w:t>45</w:t>
            </w:r>
          </w:p>
        </w:tc>
        <w:tc>
          <w:tcPr>
            <w:tcW w:w="900" w:type="dxa"/>
            <w:shd w:val="clear" w:color="auto" w:fill="DAE4EC" w:themeFill="background2"/>
            <w:noWrap/>
            <w:vAlign w:val="center"/>
            <w:hideMark/>
          </w:tcPr>
          <w:p w14:paraId="48771FB5" w14:textId="77777777" w:rsidR="00944FF3" w:rsidRPr="00AB09CE" w:rsidRDefault="00944FF3" w:rsidP="00351CC2">
            <w:pPr>
              <w:spacing w:after="0" w:line="240" w:lineRule="auto"/>
              <w:jc w:val="center"/>
              <w:rPr>
                <w:rFonts w:asciiTheme="minorBidi" w:eastAsia="Times New Roman" w:hAnsiTheme="minorBidi" w:cstheme="minorBidi"/>
                <w:color w:val="000000"/>
                <w:sz w:val="20"/>
                <w:szCs w:val="20"/>
                <w:lang w:val="en-US" w:eastAsia="en-US"/>
              </w:rPr>
            </w:pPr>
            <w:r w:rsidRPr="00AB09CE">
              <w:rPr>
                <w:rFonts w:asciiTheme="minorBidi" w:eastAsia="Times New Roman" w:hAnsiTheme="minorBidi" w:cstheme="minorBidi"/>
                <w:color w:val="000000"/>
                <w:sz w:val="20"/>
                <w:szCs w:val="20"/>
                <w:lang w:val="en-US" w:eastAsia="en-US"/>
              </w:rPr>
              <w:t>63</w:t>
            </w:r>
          </w:p>
        </w:tc>
        <w:tc>
          <w:tcPr>
            <w:tcW w:w="990" w:type="dxa"/>
            <w:shd w:val="clear" w:color="auto" w:fill="DAE4EC" w:themeFill="background2"/>
            <w:noWrap/>
            <w:vAlign w:val="center"/>
            <w:hideMark/>
          </w:tcPr>
          <w:p w14:paraId="1D082F8F" w14:textId="77777777" w:rsidR="00944FF3" w:rsidRPr="00AB09CE" w:rsidRDefault="00944FF3" w:rsidP="00351CC2">
            <w:pPr>
              <w:spacing w:after="0" w:line="240" w:lineRule="auto"/>
              <w:jc w:val="center"/>
              <w:rPr>
                <w:rFonts w:asciiTheme="minorBidi" w:eastAsia="Times New Roman" w:hAnsiTheme="minorBidi" w:cstheme="minorBidi"/>
                <w:color w:val="000000"/>
                <w:sz w:val="20"/>
                <w:szCs w:val="20"/>
                <w:lang w:val="en-US" w:eastAsia="en-US"/>
              </w:rPr>
            </w:pPr>
            <w:r w:rsidRPr="00AB09CE">
              <w:rPr>
                <w:rFonts w:asciiTheme="minorBidi" w:eastAsia="Times New Roman" w:hAnsiTheme="minorBidi" w:cstheme="minorBidi"/>
                <w:color w:val="000000"/>
                <w:sz w:val="20"/>
                <w:szCs w:val="20"/>
                <w:lang w:val="en-US" w:eastAsia="en-US"/>
              </w:rPr>
              <w:t>16</w:t>
            </w:r>
          </w:p>
        </w:tc>
        <w:tc>
          <w:tcPr>
            <w:tcW w:w="810" w:type="dxa"/>
            <w:shd w:val="clear" w:color="auto" w:fill="DAE4EC" w:themeFill="background2"/>
            <w:noWrap/>
            <w:vAlign w:val="center"/>
            <w:hideMark/>
          </w:tcPr>
          <w:p w14:paraId="5E153B64" w14:textId="77777777" w:rsidR="00944FF3" w:rsidRPr="00AB09CE" w:rsidRDefault="00944FF3" w:rsidP="00351CC2">
            <w:pPr>
              <w:spacing w:after="0" w:line="240" w:lineRule="auto"/>
              <w:jc w:val="center"/>
              <w:rPr>
                <w:rFonts w:asciiTheme="minorBidi" w:eastAsia="Times New Roman" w:hAnsiTheme="minorBidi" w:cstheme="minorBidi"/>
                <w:color w:val="000000"/>
                <w:sz w:val="20"/>
                <w:szCs w:val="20"/>
                <w:lang w:val="en-US" w:eastAsia="en-US"/>
              </w:rPr>
            </w:pPr>
            <w:r w:rsidRPr="00AB09CE">
              <w:rPr>
                <w:rFonts w:asciiTheme="minorBidi" w:eastAsia="Times New Roman" w:hAnsiTheme="minorBidi" w:cstheme="minorBidi"/>
                <w:color w:val="000000"/>
                <w:sz w:val="20"/>
                <w:szCs w:val="20"/>
                <w:lang w:val="en-US" w:eastAsia="en-US"/>
              </w:rPr>
              <w:t>19</w:t>
            </w:r>
          </w:p>
        </w:tc>
        <w:tc>
          <w:tcPr>
            <w:tcW w:w="990" w:type="dxa"/>
            <w:shd w:val="clear" w:color="auto" w:fill="DAE4EC" w:themeFill="background2"/>
            <w:noWrap/>
            <w:vAlign w:val="center"/>
            <w:hideMark/>
          </w:tcPr>
          <w:p w14:paraId="6F945F3D" w14:textId="77777777" w:rsidR="00944FF3" w:rsidRPr="00AB09CE" w:rsidRDefault="00944FF3" w:rsidP="00351CC2">
            <w:pPr>
              <w:spacing w:after="0" w:line="240" w:lineRule="auto"/>
              <w:jc w:val="center"/>
              <w:rPr>
                <w:rFonts w:asciiTheme="minorBidi" w:eastAsia="Times New Roman" w:hAnsiTheme="minorBidi" w:cstheme="minorBidi"/>
                <w:color w:val="000000"/>
                <w:sz w:val="20"/>
                <w:szCs w:val="20"/>
                <w:lang w:val="en-US" w:eastAsia="en-US"/>
              </w:rPr>
            </w:pPr>
            <w:r w:rsidRPr="00AB09CE">
              <w:rPr>
                <w:rFonts w:asciiTheme="minorBidi" w:eastAsia="Times New Roman" w:hAnsiTheme="minorBidi" w:cstheme="minorBidi"/>
                <w:color w:val="000000"/>
                <w:sz w:val="20"/>
                <w:szCs w:val="20"/>
                <w:lang w:val="en-US" w:eastAsia="en-US"/>
              </w:rPr>
              <w:t>35</w:t>
            </w:r>
          </w:p>
        </w:tc>
        <w:tc>
          <w:tcPr>
            <w:tcW w:w="810" w:type="dxa"/>
            <w:shd w:val="clear" w:color="auto" w:fill="DAE4EC" w:themeFill="background2"/>
            <w:noWrap/>
            <w:vAlign w:val="center"/>
            <w:hideMark/>
          </w:tcPr>
          <w:p w14:paraId="2A16A74A" w14:textId="77777777" w:rsidR="00944FF3" w:rsidRPr="00AB09CE" w:rsidRDefault="00944FF3" w:rsidP="00351CC2">
            <w:pPr>
              <w:spacing w:after="0" w:line="240" w:lineRule="auto"/>
              <w:jc w:val="center"/>
              <w:rPr>
                <w:rFonts w:asciiTheme="minorBidi" w:eastAsia="Times New Roman" w:hAnsiTheme="minorBidi" w:cstheme="minorBidi"/>
                <w:color w:val="000000"/>
                <w:sz w:val="20"/>
                <w:szCs w:val="20"/>
                <w:lang w:val="en-US" w:eastAsia="en-US"/>
              </w:rPr>
            </w:pPr>
            <w:r w:rsidRPr="00AB09CE">
              <w:rPr>
                <w:rFonts w:asciiTheme="minorBidi" w:eastAsia="Times New Roman" w:hAnsiTheme="minorBidi" w:cstheme="minorBidi"/>
                <w:color w:val="000000"/>
                <w:sz w:val="20"/>
                <w:szCs w:val="20"/>
                <w:lang w:val="en-US" w:eastAsia="en-US"/>
              </w:rPr>
              <w:t>98</w:t>
            </w:r>
          </w:p>
        </w:tc>
        <w:tc>
          <w:tcPr>
            <w:tcW w:w="900" w:type="dxa"/>
            <w:shd w:val="clear" w:color="auto" w:fill="DAE4EC" w:themeFill="background2"/>
          </w:tcPr>
          <w:p w14:paraId="421C8CBD" w14:textId="77777777" w:rsidR="00944FF3" w:rsidRPr="00AB09CE" w:rsidRDefault="00944FF3" w:rsidP="00351CC2">
            <w:pPr>
              <w:spacing w:after="0" w:line="240" w:lineRule="auto"/>
              <w:jc w:val="center"/>
              <w:rPr>
                <w:rFonts w:asciiTheme="minorBidi" w:eastAsia="Times New Roman" w:hAnsiTheme="minorBidi" w:cstheme="minorBidi"/>
                <w:color w:val="000000"/>
                <w:sz w:val="20"/>
                <w:szCs w:val="20"/>
                <w:lang w:val="en-US" w:eastAsia="en-US"/>
              </w:rPr>
            </w:pPr>
            <w:r>
              <w:rPr>
                <w:rFonts w:asciiTheme="minorBidi" w:eastAsia="Times New Roman" w:hAnsiTheme="minorBidi" w:cstheme="minorBidi"/>
                <w:color w:val="000000"/>
                <w:sz w:val="20"/>
                <w:szCs w:val="20"/>
                <w:lang w:val="en-US" w:eastAsia="en-US"/>
              </w:rPr>
              <w:t>18.1%</w:t>
            </w:r>
          </w:p>
        </w:tc>
      </w:tr>
      <w:tr w:rsidR="00944FF3" w:rsidRPr="00AB09CE" w14:paraId="6CDB680D" w14:textId="77777777" w:rsidTr="003C76B8">
        <w:trPr>
          <w:trHeight w:val="290"/>
        </w:trPr>
        <w:tc>
          <w:tcPr>
            <w:tcW w:w="1960" w:type="dxa"/>
            <w:shd w:val="clear" w:color="auto" w:fill="DAE4EC" w:themeFill="background2"/>
            <w:noWrap/>
            <w:vAlign w:val="center"/>
            <w:hideMark/>
          </w:tcPr>
          <w:p w14:paraId="0246AC00" w14:textId="77777777" w:rsidR="00944FF3" w:rsidRPr="00AB09CE" w:rsidRDefault="00944FF3" w:rsidP="00351CC2">
            <w:pPr>
              <w:spacing w:after="0" w:line="240" w:lineRule="auto"/>
              <w:rPr>
                <w:rFonts w:asciiTheme="minorBidi" w:eastAsia="Times New Roman" w:hAnsiTheme="minorBidi" w:cstheme="minorBidi"/>
                <w:b/>
                <w:bCs/>
                <w:color w:val="0B1F51"/>
                <w:sz w:val="20"/>
                <w:szCs w:val="20"/>
                <w:lang w:val="en-US" w:eastAsia="en-US"/>
              </w:rPr>
            </w:pPr>
            <w:r w:rsidRPr="00AB09CE">
              <w:rPr>
                <w:rFonts w:asciiTheme="minorBidi" w:eastAsia="Times New Roman" w:hAnsiTheme="minorBidi" w:cstheme="minorBidi"/>
                <w:b/>
                <w:bCs/>
                <w:color w:val="0B1F51"/>
                <w:sz w:val="20"/>
                <w:szCs w:val="20"/>
                <w:lang w:val="en-US" w:eastAsia="en-US"/>
              </w:rPr>
              <w:t xml:space="preserve">70 yrs.&amp; above </w:t>
            </w:r>
          </w:p>
        </w:tc>
        <w:tc>
          <w:tcPr>
            <w:tcW w:w="1005" w:type="dxa"/>
            <w:shd w:val="clear" w:color="auto" w:fill="DAE4EC" w:themeFill="background2"/>
            <w:noWrap/>
            <w:vAlign w:val="center"/>
            <w:hideMark/>
          </w:tcPr>
          <w:p w14:paraId="6C4125A8" w14:textId="77777777" w:rsidR="00944FF3" w:rsidRPr="00AB09CE" w:rsidRDefault="00944FF3" w:rsidP="00351CC2">
            <w:pPr>
              <w:spacing w:after="0" w:line="240" w:lineRule="auto"/>
              <w:jc w:val="center"/>
              <w:rPr>
                <w:rFonts w:asciiTheme="minorBidi" w:eastAsia="Times New Roman" w:hAnsiTheme="minorBidi" w:cstheme="minorBidi"/>
                <w:color w:val="000000"/>
                <w:sz w:val="20"/>
                <w:szCs w:val="20"/>
                <w:lang w:val="en-US" w:eastAsia="en-US"/>
              </w:rPr>
            </w:pPr>
            <w:r w:rsidRPr="00AB09CE">
              <w:rPr>
                <w:rFonts w:asciiTheme="minorBidi" w:eastAsia="Times New Roman" w:hAnsiTheme="minorBidi" w:cstheme="minorBidi"/>
                <w:color w:val="000000"/>
                <w:sz w:val="20"/>
                <w:szCs w:val="20"/>
                <w:lang w:val="en-US" w:eastAsia="en-US"/>
              </w:rPr>
              <w:t>3</w:t>
            </w:r>
          </w:p>
        </w:tc>
        <w:tc>
          <w:tcPr>
            <w:tcW w:w="810" w:type="dxa"/>
            <w:shd w:val="clear" w:color="auto" w:fill="DAE4EC" w:themeFill="background2"/>
            <w:noWrap/>
            <w:vAlign w:val="center"/>
            <w:hideMark/>
          </w:tcPr>
          <w:p w14:paraId="1A4E9DF0" w14:textId="77777777" w:rsidR="00944FF3" w:rsidRPr="00AB09CE" w:rsidRDefault="00944FF3" w:rsidP="00351CC2">
            <w:pPr>
              <w:spacing w:after="0" w:line="240" w:lineRule="auto"/>
              <w:jc w:val="center"/>
              <w:rPr>
                <w:rFonts w:asciiTheme="minorBidi" w:eastAsia="Times New Roman" w:hAnsiTheme="minorBidi" w:cstheme="minorBidi"/>
                <w:color w:val="000000"/>
                <w:sz w:val="20"/>
                <w:szCs w:val="20"/>
                <w:lang w:val="en-US" w:eastAsia="en-US"/>
              </w:rPr>
            </w:pPr>
            <w:r w:rsidRPr="00AB09CE">
              <w:rPr>
                <w:rFonts w:asciiTheme="minorBidi" w:eastAsia="Times New Roman" w:hAnsiTheme="minorBidi" w:cstheme="minorBidi"/>
                <w:color w:val="000000"/>
                <w:sz w:val="20"/>
                <w:szCs w:val="20"/>
                <w:lang w:val="en-US" w:eastAsia="en-US"/>
              </w:rPr>
              <w:t>26</w:t>
            </w:r>
          </w:p>
        </w:tc>
        <w:tc>
          <w:tcPr>
            <w:tcW w:w="900" w:type="dxa"/>
            <w:shd w:val="clear" w:color="auto" w:fill="DAE4EC" w:themeFill="background2"/>
            <w:noWrap/>
            <w:vAlign w:val="center"/>
            <w:hideMark/>
          </w:tcPr>
          <w:p w14:paraId="550DCCFD" w14:textId="77777777" w:rsidR="00944FF3" w:rsidRPr="00AB09CE" w:rsidRDefault="00944FF3" w:rsidP="00351CC2">
            <w:pPr>
              <w:spacing w:after="0" w:line="240" w:lineRule="auto"/>
              <w:jc w:val="center"/>
              <w:rPr>
                <w:rFonts w:asciiTheme="minorBidi" w:eastAsia="Times New Roman" w:hAnsiTheme="minorBidi" w:cstheme="minorBidi"/>
                <w:color w:val="000000"/>
                <w:sz w:val="20"/>
                <w:szCs w:val="20"/>
                <w:lang w:val="en-US" w:eastAsia="en-US"/>
              </w:rPr>
            </w:pPr>
            <w:r w:rsidRPr="00AB09CE">
              <w:rPr>
                <w:rFonts w:asciiTheme="minorBidi" w:eastAsia="Times New Roman" w:hAnsiTheme="minorBidi" w:cstheme="minorBidi"/>
                <w:color w:val="000000"/>
                <w:sz w:val="20"/>
                <w:szCs w:val="20"/>
                <w:lang w:val="en-US" w:eastAsia="en-US"/>
              </w:rPr>
              <w:t>29</w:t>
            </w:r>
          </w:p>
        </w:tc>
        <w:tc>
          <w:tcPr>
            <w:tcW w:w="990" w:type="dxa"/>
            <w:shd w:val="clear" w:color="auto" w:fill="DAE4EC" w:themeFill="background2"/>
            <w:noWrap/>
            <w:vAlign w:val="center"/>
            <w:hideMark/>
          </w:tcPr>
          <w:p w14:paraId="0D7DE6B9" w14:textId="77777777" w:rsidR="00944FF3" w:rsidRPr="00AB09CE" w:rsidRDefault="00944FF3" w:rsidP="00351CC2">
            <w:pPr>
              <w:spacing w:after="0" w:line="240" w:lineRule="auto"/>
              <w:jc w:val="center"/>
              <w:rPr>
                <w:rFonts w:asciiTheme="minorBidi" w:eastAsia="Times New Roman" w:hAnsiTheme="minorBidi" w:cstheme="minorBidi"/>
                <w:color w:val="000000"/>
                <w:sz w:val="20"/>
                <w:szCs w:val="20"/>
                <w:lang w:val="en-US" w:eastAsia="en-US"/>
              </w:rPr>
            </w:pPr>
            <w:r w:rsidRPr="00AB09CE">
              <w:rPr>
                <w:rFonts w:asciiTheme="minorBidi" w:eastAsia="Times New Roman" w:hAnsiTheme="minorBidi" w:cstheme="minorBidi"/>
                <w:color w:val="000000"/>
                <w:sz w:val="20"/>
                <w:szCs w:val="20"/>
                <w:lang w:val="en-US" w:eastAsia="en-US"/>
              </w:rPr>
              <w:t>4</w:t>
            </w:r>
          </w:p>
        </w:tc>
        <w:tc>
          <w:tcPr>
            <w:tcW w:w="810" w:type="dxa"/>
            <w:shd w:val="clear" w:color="auto" w:fill="DAE4EC" w:themeFill="background2"/>
            <w:noWrap/>
            <w:vAlign w:val="center"/>
            <w:hideMark/>
          </w:tcPr>
          <w:p w14:paraId="3208EE65" w14:textId="77777777" w:rsidR="00944FF3" w:rsidRPr="00AB09CE" w:rsidRDefault="00944FF3" w:rsidP="00351CC2">
            <w:pPr>
              <w:spacing w:after="0" w:line="240" w:lineRule="auto"/>
              <w:jc w:val="center"/>
              <w:rPr>
                <w:rFonts w:asciiTheme="minorBidi" w:eastAsia="Times New Roman" w:hAnsiTheme="minorBidi" w:cstheme="minorBidi"/>
                <w:color w:val="000000"/>
                <w:sz w:val="20"/>
                <w:szCs w:val="20"/>
                <w:lang w:val="en-US" w:eastAsia="en-US"/>
              </w:rPr>
            </w:pPr>
            <w:r w:rsidRPr="00AB09CE">
              <w:rPr>
                <w:rFonts w:asciiTheme="minorBidi" w:eastAsia="Times New Roman" w:hAnsiTheme="minorBidi" w:cstheme="minorBidi"/>
                <w:color w:val="000000"/>
                <w:sz w:val="20"/>
                <w:szCs w:val="20"/>
                <w:lang w:val="en-US" w:eastAsia="en-US"/>
              </w:rPr>
              <w:t>24</w:t>
            </w:r>
          </w:p>
        </w:tc>
        <w:tc>
          <w:tcPr>
            <w:tcW w:w="990" w:type="dxa"/>
            <w:shd w:val="clear" w:color="auto" w:fill="DAE4EC" w:themeFill="background2"/>
            <w:noWrap/>
            <w:vAlign w:val="center"/>
            <w:hideMark/>
          </w:tcPr>
          <w:p w14:paraId="1BAE7275" w14:textId="77777777" w:rsidR="00944FF3" w:rsidRPr="00AB09CE" w:rsidRDefault="00944FF3" w:rsidP="00351CC2">
            <w:pPr>
              <w:spacing w:after="0" w:line="240" w:lineRule="auto"/>
              <w:jc w:val="center"/>
              <w:rPr>
                <w:rFonts w:asciiTheme="minorBidi" w:eastAsia="Times New Roman" w:hAnsiTheme="minorBidi" w:cstheme="minorBidi"/>
                <w:color w:val="000000"/>
                <w:sz w:val="20"/>
                <w:szCs w:val="20"/>
                <w:lang w:val="en-US" w:eastAsia="en-US"/>
              </w:rPr>
            </w:pPr>
            <w:r w:rsidRPr="00AB09CE">
              <w:rPr>
                <w:rFonts w:asciiTheme="minorBidi" w:eastAsia="Times New Roman" w:hAnsiTheme="minorBidi" w:cstheme="minorBidi"/>
                <w:color w:val="000000"/>
                <w:sz w:val="20"/>
                <w:szCs w:val="20"/>
                <w:lang w:val="en-US" w:eastAsia="en-US"/>
              </w:rPr>
              <w:t>28</w:t>
            </w:r>
          </w:p>
        </w:tc>
        <w:tc>
          <w:tcPr>
            <w:tcW w:w="810" w:type="dxa"/>
            <w:shd w:val="clear" w:color="auto" w:fill="DAE4EC" w:themeFill="background2"/>
            <w:noWrap/>
            <w:vAlign w:val="center"/>
            <w:hideMark/>
          </w:tcPr>
          <w:p w14:paraId="0E69BD36" w14:textId="77777777" w:rsidR="00944FF3" w:rsidRPr="00AB09CE" w:rsidRDefault="00944FF3" w:rsidP="00351CC2">
            <w:pPr>
              <w:spacing w:after="0" w:line="240" w:lineRule="auto"/>
              <w:jc w:val="center"/>
              <w:rPr>
                <w:rFonts w:asciiTheme="minorBidi" w:eastAsia="Times New Roman" w:hAnsiTheme="minorBidi" w:cstheme="minorBidi"/>
                <w:color w:val="000000"/>
                <w:sz w:val="20"/>
                <w:szCs w:val="20"/>
                <w:lang w:val="en-US" w:eastAsia="en-US"/>
              </w:rPr>
            </w:pPr>
            <w:r w:rsidRPr="00AB09CE">
              <w:rPr>
                <w:rFonts w:asciiTheme="minorBidi" w:eastAsia="Times New Roman" w:hAnsiTheme="minorBidi" w:cstheme="minorBidi"/>
                <w:color w:val="000000"/>
                <w:sz w:val="20"/>
                <w:szCs w:val="20"/>
                <w:lang w:val="en-US" w:eastAsia="en-US"/>
              </w:rPr>
              <w:t>57</w:t>
            </w:r>
          </w:p>
        </w:tc>
        <w:tc>
          <w:tcPr>
            <w:tcW w:w="900" w:type="dxa"/>
            <w:shd w:val="clear" w:color="auto" w:fill="DAE4EC" w:themeFill="background2"/>
          </w:tcPr>
          <w:p w14:paraId="098C77C5" w14:textId="77777777" w:rsidR="00944FF3" w:rsidRPr="00AB09CE" w:rsidRDefault="00944FF3" w:rsidP="00351CC2">
            <w:pPr>
              <w:spacing w:after="0" w:line="240" w:lineRule="auto"/>
              <w:jc w:val="center"/>
              <w:rPr>
                <w:rFonts w:asciiTheme="minorBidi" w:eastAsia="Times New Roman" w:hAnsiTheme="minorBidi" w:cstheme="minorBidi"/>
                <w:color w:val="000000"/>
                <w:sz w:val="20"/>
                <w:szCs w:val="20"/>
                <w:lang w:val="en-US" w:eastAsia="en-US"/>
              </w:rPr>
            </w:pPr>
            <w:r>
              <w:rPr>
                <w:rFonts w:asciiTheme="minorBidi" w:eastAsia="Times New Roman" w:hAnsiTheme="minorBidi" w:cstheme="minorBidi"/>
                <w:color w:val="000000"/>
                <w:sz w:val="20"/>
                <w:szCs w:val="20"/>
                <w:lang w:val="en-US" w:eastAsia="en-US"/>
              </w:rPr>
              <w:t>10.5%</w:t>
            </w:r>
          </w:p>
        </w:tc>
      </w:tr>
      <w:tr w:rsidR="00944FF3" w:rsidRPr="00944FF3" w14:paraId="38D8C53E" w14:textId="77777777" w:rsidTr="003C76B8">
        <w:trPr>
          <w:trHeight w:val="290"/>
        </w:trPr>
        <w:tc>
          <w:tcPr>
            <w:tcW w:w="1960" w:type="dxa"/>
            <w:shd w:val="clear" w:color="auto" w:fill="DAE4EC" w:themeFill="background2"/>
            <w:vAlign w:val="center"/>
            <w:hideMark/>
          </w:tcPr>
          <w:p w14:paraId="3833B05C" w14:textId="77777777" w:rsidR="00944FF3" w:rsidRPr="00AB09CE" w:rsidRDefault="00944FF3" w:rsidP="00351CC2">
            <w:pPr>
              <w:spacing w:after="0" w:line="240" w:lineRule="auto"/>
              <w:rPr>
                <w:rFonts w:asciiTheme="minorBidi" w:eastAsia="Times New Roman" w:hAnsiTheme="minorBidi" w:cstheme="minorBidi"/>
                <w:b/>
                <w:bCs/>
                <w:i/>
                <w:iCs/>
                <w:color w:val="0B1F51"/>
                <w:sz w:val="20"/>
                <w:szCs w:val="20"/>
                <w:lang w:val="en-US" w:eastAsia="en-US"/>
              </w:rPr>
            </w:pPr>
            <w:r w:rsidRPr="00AB09CE">
              <w:rPr>
                <w:rFonts w:asciiTheme="minorBidi" w:eastAsia="Times New Roman" w:hAnsiTheme="minorBidi" w:cstheme="minorBidi"/>
                <w:b/>
                <w:bCs/>
                <w:i/>
                <w:iCs/>
                <w:color w:val="0B1F51"/>
                <w:sz w:val="20"/>
                <w:szCs w:val="20"/>
                <w:lang w:val="en-US" w:eastAsia="en-US"/>
              </w:rPr>
              <w:t>Total</w:t>
            </w:r>
          </w:p>
        </w:tc>
        <w:tc>
          <w:tcPr>
            <w:tcW w:w="1005" w:type="dxa"/>
            <w:shd w:val="clear" w:color="auto" w:fill="DAE4EC" w:themeFill="background2"/>
            <w:noWrap/>
            <w:vAlign w:val="center"/>
            <w:hideMark/>
          </w:tcPr>
          <w:p w14:paraId="32019A28" w14:textId="77777777" w:rsidR="00944FF3" w:rsidRPr="00AB09CE" w:rsidRDefault="00944FF3" w:rsidP="00351CC2">
            <w:pPr>
              <w:spacing w:after="0" w:line="240" w:lineRule="auto"/>
              <w:jc w:val="center"/>
              <w:rPr>
                <w:rFonts w:asciiTheme="minorBidi" w:eastAsia="Times New Roman" w:hAnsiTheme="minorBidi" w:cstheme="minorBidi"/>
                <w:b/>
                <w:bCs/>
                <w:i/>
                <w:iCs/>
                <w:color w:val="000000"/>
                <w:sz w:val="20"/>
                <w:szCs w:val="20"/>
                <w:lang w:val="en-US" w:eastAsia="en-US"/>
              </w:rPr>
            </w:pPr>
            <w:r w:rsidRPr="00AB09CE">
              <w:rPr>
                <w:rFonts w:asciiTheme="minorBidi" w:eastAsia="Times New Roman" w:hAnsiTheme="minorBidi" w:cstheme="minorBidi"/>
                <w:b/>
                <w:bCs/>
                <w:i/>
                <w:iCs/>
                <w:color w:val="000000"/>
                <w:sz w:val="20"/>
                <w:szCs w:val="20"/>
                <w:lang w:val="en-US" w:eastAsia="en-US"/>
              </w:rPr>
              <w:t>133</w:t>
            </w:r>
          </w:p>
        </w:tc>
        <w:tc>
          <w:tcPr>
            <w:tcW w:w="810" w:type="dxa"/>
            <w:shd w:val="clear" w:color="auto" w:fill="DAE4EC" w:themeFill="background2"/>
            <w:noWrap/>
            <w:vAlign w:val="center"/>
            <w:hideMark/>
          </w:tcPr>
          <w:p w14:paraId="0283B71E" w14:textId="77777777" w:rsidR="00944FF3" w:rsidRPr="00AB09CE" w:rsidRDefault="00944FF3" w:rsidP="00351CC2">
            <w:pPr>
              <w:spacing w:after="0" w:line="240" w:lineRule="auto"/>
              <w:jc w:val="center"/>
              <w:rPr>
                <w:rFonts w:asciiTheme="minorBidi" w:eastAsia="Times New Roman" w:hAnsiTheme="minorBidi" w:cstheme="minorBidi"/>
                <w:b/>
                <w:bCs/>
                <w:i/>
                <w:iCs/>
                <w:color w:val="000000"/>
                <w:sz w:val="20"/>
                <w:szCs w:val="20"/>
                <w:lang w:val="en-US" w:eastAsia="en-US"/>
              </w:rPr>
            </w:pPr>
            <w:r w:rsidRPr="00AB09CE">
              <w:rPr>
                <w:rFonts w:asciiTheme="minorBidi" w:eastAsia="Times New Roman" w:hAnsiTheme="minorBidi" w:cstheme="minorBidi"/>
                <w:b/>
                <w:bCs/>
                <w:i/>
                <w:iCs/>
                <w:color w:val="000000"/>
                <w:sz w:val="20"/>
                <w:szCs w:val="20"/>
                <w:lang w:val="en-US" w:eastAsia="en-US"/>
              </w:rPr>
              <w:t>222</w:t>
            </w:r>
          </w:p>
        </w:tc>
        <w:tc>
          <w:tcPr>
            <w:tcW w:w="900" w:type="dxa"/>
            <w:shd w:val="clear" w:color="auto" w:fill="DAE4EC" w:themeFill="background2"/>
            <w:noWrap/>
            <w:vAlign w:val="center"/>
            <w:hideMark/>
          </w:tcPr>
          <w:p w14:paraId="1214B16C" w14:textId="77777777" w:rsidR="00944FF3" w:rsidRPr="00AB09CE" w:rsidRDefault="00944FF3" w:rsidP="00351CC2">
            <w:pPr>
              <w:spacing w:after="0" w:line="240" w:lineRule="auto"/>
              <w:jc w:val="center"/>
              <w:rPr>
                <w:rFonts w:asciiTheme="minorBidi" w:eastAsia="Times New Roman" w:hAnsiTheme="minorBidi" w:cstheme="minorBidi"/>
                <w:b/>
                <w:bCs/>
                <w:i/>
                <w:iCs/>
                <w:color w:val="000000"/>
                <w:sz w:val="20"/>
                <w:szCs w:val="20"/>
                <w:lang w:val="en-US" w:eastAsia="en-US"/>
              </w:rPr>
            </w:pPr>
            <w:r w:rsidRPr="00AB09CE">
              <w:rPr>
                <w:rFonts w:asciiTheme="minorBidi" w:eastAsia="Times New Roman" w:hAnsiTheme="minorBidi" w:cstheme="minorBidi"/>
                <w:b/>
                <w:bCs/>
                <w:i/>
                <w:iCs/>
                <w:color w:val="000000"/>
                <w:sz w:val="20"/>
                <w:szCs w:val="20"/>
                <w:lang w:val="en-US" w:eastAsia="en-US"/>
              </w:rPr>
              <w:t>355</w:t>
            </w:r>
          </w:p>
        </w:tc>
        <w:tc>
          <w:tcPr>
            <w:tcW w:w="990" w:type="dxa"/>
            <w:shd w:val="clear" w:color="auto" w:fill="DAE4EC" w:themeFill="background2"/>
            <w:noWrap/>
            <w:vAlign w:val="center"/>
            <w:hideMark/>
          </w:tcPr>
          <w:p w14:paraId="3EE74691" w14:textId="77777777" w:rsidR="00944FF3" w:rsidRPr="00AB09CE" w:rsidRDefault="00944FF3" w:rsidP="00351CC2">
            <w:pPr>
              <w:spacing w:after="0" w:line="240" w:lineRule="auto"/>
              <w:jc w:val="center"/>
              <w:rPr>
                <w:rFonts w:asciiTheme="minorBidi" w:eastAsia="Times New Roman" w:hAnsiTheme="minorBidi" w:cstheme="minorBidi"/>
                <w:b/>
                <w:bCs/>
                <w:i/>
                <w:iCs/>
                <w:color w:val="000000"/>
                <w:sz w:val="20"/>
                <w:szCs w:val="20"/>
                <w:lang w:val="en-US" w:eastAsia="en-US"/>
              </w:rPr>
            </w:pPr>
            <w:r w:rsidRPr="00AB09CE">
              <w:rPr>
                <w:rFonts w:asciiTheme="minorBidi" w:eastAsia="Times New Roman" w:hAnsiTheme="minorBidi" w:cstheme="minorBidi"/>
                <w:b/>
                <w:bCs/>
                <w:i/>
                <w:iCs/>
                <w:color w:val="000000"/>
                <w:sz w:val="20"/>
                <w:szCs w:val="20"/>
                <w:lang w:val="en-US" w:eastAsia="en-US"/>
              </w:rPr>
              <w:t>56</w:t>
            </w:r>
          </w:p>
        </w:tc>
        <w:tc>
          <w:tcPr>
            <w:tcW w:w="810" w:type="dxa"/>
            <w:shd w:val="clear" w:color="auto" w:fill="DAE4EC" w:themeFill="background2"/>
            <w:noWrap/>
            <w:vAlign w:val="center"/>
            <w:hideMark/>
          </w:tcPr>
          <w:p w14:paraId="498AFA59" w14:textId="77777777" w:rsidR="00944FF3" w:rsidRPr="00AB09CE" w:rsidRDefault="00944FF3" w:rsidP="00351CC2">
            <w:pPr>
              <w:spacing w:after="0" w:line="240" w:lineRule="auto"/>
              <w:jc w:val="center"/>
              <w:rPr>
                <w:rFonts w:asciiTheme="minorBidi" w:eastAsia="Times New Roman" w:hAnsiTheme="minorBidi" w:cstheme="minorBidi"/>
                <w:b/>
                <w:bCs/>
                <w:i/>
                <w:iCs/>
                <w:color w:val="000000"/>
                <w:sz w:val="20"/>
                <w:szCs w:val="20"/>
                <w:lang w:val="en-US" w:eastAsia="en-US"/>
              </w:rPr>
            </w:pPr>
            <w:r w:rsidRPr="00AB09CE">
              <w:rPr>
                <w:rFonts w:asciiTheme="minorBidi" w:eastAsia="Times New Roman" w:hAnsiTheme="minorBidi" w:cstheme="minorBidi"/>
                <w:b/>
                <w:bCs/>
                <w:i/>
                <w:iCs/>
                <w:color w:val="000000"/>
                <w:sz w:val="20"/>
                <w:szCs w:val="20"/>
                <w:lang w:val="en-US" w:eastAsia="en-US"/>
              </w:rPr>
              <w:t>130</w:t>
            </w:r>
          </w:p>
        </w:tc>
        <w:tc>
          <w:tcPr>
            <w:tcW w:w="990" w:type="dxa"/>
            <w:shd w:val="clear" w:color="auto" w:fill="DAE4EC" w:themeFill="background2"/>
            <w:noWrap/>
            <w:vAlign w:val="center"/>
            <w:hideMark/>
          </w:tcPr>
          <w:p w14:paraId="73B301B8" w14:textId="77777777" w:rsidR="00944FF3" w:rsidRPr="00AB09CE" w:rsidRDefault="00944FF3" w:rsidP="00351CC2">
            <w:pPr>
              <w:spacing w:after="0" w:line="240" w:lineRule="auto"/>
              <w:jc w:val="center"/>
              <w:rPr>
                <w:rFonts w:asciiTheme="minorBidi" w:eastAsia="Times New Roman" w:hAnsiTheme="minorBidi" w:cstheme="minorBidi"/>
                <w:b/>
                <w:bCs/>
                <w:i/>
                <w:iCs/>
                <w:color w:val="000000"/>
                <w:sz w:val="20"/>
                <w:szCs w:val="20"/>
                <w:lang w:val="en-US" w:eastAsia="en-US"/>
              </w:rPr>
            </w:pPr>
            <w:r w:rsidRPr="00AB09CE">
              <w:rPr>
                <w:rFonts w:asciiTheme="minorBidi" w:eastAsia="Times New Roman" w:hAnsiTheme="minorBidi" w:cstheme="minorBidi"/>
                <w:b/>
                <w:bCs/>
                <w:i/>
                <w:iCs/>
                <w:color w:val="000000"/>
                <w:sz w:val="20"/>
                <w:szCs w:val="20"/>
                <w:lang w:val="en-US" w:eastAsia="en-US"/>
              </w:rPr>
              <w:t>186</w:t>
            </w:r>
          </w:p>
        </w:tc>
        <w:tc>
          <w:tcPr>
            <w:tcW w:w="810" w:type="dxa"/>
            <w:shd w:val="clear" w:color="auto" w:fill="DAE4EC" w:themeFill="background2"/>
            <w:noWrap/>
            <w:vAlign w:val="center"/>
            <w:hideMark/>
          </w:tcPr>
          <w:p w14:paraId="3555E46F" w14:textId="77777777" w:rsidR="00944FF3" w:rsidRPr="00AB09CE" w:rsidRDefault="00944FF3" w:rsidP="00351CC2">
            <w:pPr>
              <w:spacing w:after="0" w:line="240" w:lineRule="auto"/>
              <w:jc w:val="center"/>
              <w:rPr>
                <w:rFonts w:asciiTheme="minorBidi" w:eastAsia="Times New Roman" w:hAnsiTheme="minorBidi" w:cstheme="minorBidi"/>
                <w:b/>
                <w:bCs/>
                <w:i/>
                <w:iCs/>
                <w:color w:val="000000"/>
                <w:sz w:val="20"/>
                <w:szCs w:val="20"/>
                <w:lang w:val="en-US" w:eastAsia="en-US"/>
              </w:rPr>
            </w:pPr>
            <w:r w:rsidRPr="00AB09CE">
              <w:rPr>
                <w:rFonts w:asciiTheme="minorBidi" w:eastAsia="Times New Roman" w:hAnsiTheme="minorBidi" w:cstheme="minorBidi"/>
                <w:b/>
                <w:bCs/>
                <w:i/>
                <w:iCs/>
                <w:color w:val="000000"/>
                <w:sz w:val="20"/>
                <w:szCs w:val="20"/>
                <w:lang w:val="en-US" w:eastAsia="en-US"/>
              </w:rPr>
              <w:t>541</w:t>
            </w:r>
          </w:p>
        </w:tc>
        <w:tc>
          <w:tcPr>
            <w:tcW w:w="900" w:type="dxa"/>
            <w:shd w:val="clear" w:color="auto" w:fill="DAE4EC" w:themeFill="background2"/>
          </w:tcPr>
          <w:p w14:paraId="3B294214" w14:textId="77777777" w:rsidR="00944FF3" w:rsidRPr="00944FF3" w:rsidRDefault="00944FF3" w:rsidP="00351CC2">
            <w:pPr>
              <w:spacing w:after="0" w:line="240" w:lineRule="auto"/>
              <w:jc w:val="center"/>
              <w:rPr>
                <w:rFonts w:asciiTheme="minorBidi" w:eastAsia="Times New Roman" w:hAnsiTheme="minorBidi" w:cstheme="minorBidi"/>
                <w:b/>
                <w:bCs/>
                <w:i/>
                <w:iCs/>
                <w:color w:val="000000"/>
                <w:sz w:val="20"/>
                <w:szCs w:val="20"/>
                <w:lang w:val="en-US" w:eastAsia="en-US"/>
              </w:rPr>
            </w:pPr>
          </w:p>
        </w:tc>
      </w:tr>
    </w:tbl>
    <w:p w14:paraId="24552EC7" w14:textId="77777777" w:rsidR="00944FF3" w:rsidRPr="003506E5" w:rsidRDefault="00944FF3" w:rsidP="005F5304">
      <w:pPr>
        <w:pStyle w:val="BodyText"/>
        <w:spacing w:after="0"/>
      </w:pPr>
    </w:p>
    <w:p w14:paraId="5724D667" w14:textId="701853C8" w:rsidR="005F5304" w:rsidRPr="003506E5" w:rsidRDefault="005F5304" w:rsidP="00944FF3">
      <w:pPr>
        <w:pStyle w:val="BodyText"/>
      </w:pPr>
      <w:r w:rsidRPr="003506E5">
        <w:t xml:space="preserve">The information in the table above shows that the highest number of admissions </w:t>
      </w:r>
      <w:r w:rsidR="00DB7DF1" w:rsidRPr="003506E5">
        <w:t>i.e.,25</w:t>
      </w:r>
      <w:r w:rsidR="00944FF3">
        <w:t>8</w:t>
      </w:r>
      <w:r w:rsidRPr="003506E5">
        <w:t xml:space="preserve"> (</w:t>
      </w:r>
      <w:r w:rsidR="00DB7DF1" w:rsidRPr="003506E5">
        <w:t>4</w:t>
      </w:r>
      <w:r w:rsidR="00944FF3">
        <w:t>8</w:t>
      </w:r>
      <w:r w:rsidRPr="003506E5">
        <w:t xml:space="preserve">%) were from the age group of </w:t>
      </w:r>
      <w:r w:rsidR="00DB7DF1" w:rsidRPr="003506E5">
        <w:t>15</w:t>
      </w:r>
      <w:r w:rsidRPr="003506E5">
        <w:t xml:space="preserve"> to </w:t>
      </w:r>
      <w:r w:rsidR="00DB7DF1" w:rsidRPr="003506E5">
        <w:t>4</w:t>
      </w:r>
      <w:r w:rsidRPr="003506E5">
        <w:t xml:space="preserve">9 years followed by </w:t>
      </w:r>
      <w:r w:rsidR="00944FF3">
        <w:t>98</w:t>
      </w:r>
      <w:r w:rsidRPr="003506E5">
        <w:t xml:space="preserve"> (1</w:t>
      </w:r>
      <w:r w:rsidR="00DB7DF1" w:rsidRPr="003506E5">
        <w:t>8</w:t>
      </w:r>
      <w:r w:rsidRPr="003506E5">
        <w:t xml:space="preserve">%) admissions of patients aged </w:t>
      </w:r>
      <w:r w:rsidR="00DB7DF1" w:rsidRPr="003506E5">
        <w:t>50</w:t>
      </w:r>
      <w:r w:rsidRPr="003506E5">
        <w:t xml:space="preserve"> to </w:t>
      </w:r>
      <w:r w:rsidR="00DB7DF1" w:rsidRPr="003506E5">
        <w:t>6</w:t>
      </w:r>
      <w:r w:rsidRPr="003506E5">
        <w:t xml:space="preserve">9 years. There were </w:t>
      </w:r>
      <w:r w:rsidR="00944FF3">
        <w:t>57</w:t>
      </w:r>
      <w:r w:rsidRPr="003506E5">
        <w:t xml:space="preserve"> (</w:t>
      </w:r>
      <w:r w:rsidR="00944FF3">
        <w:t>11</w:t>
      </w:r>
      <w:r w:rsidRPr="003506E5">
        <w:t xml:space="preserve">%) admissions of under the age of 5 years children. </w:t>
      </w:r>
    </w:p>
    <w:p w14:paraId="0D53DA7E" w14:textId="5697A93A" w:rsidR="00AC1F03" w:rsidRPr="003506E5" w:rsidRDefault="00AC1F03" w:rsidP="00944FF3">
      <w:pPr>
        <w:pStyle w:val="Caption"/>
      </w:pPr>
      <w:bookmarkStart w:id="49" w:name="_Toc57215236"/>
      <w:r w:rsidRPr="003506E5">
        <w:t xml:space="preserve">Table </w:t>
      </w:r>
      <w:r w:rsidR="00B76041" w:rsidRPr="003506E5">
        <w:fldChar w:fldCharType="begin"/>
      </w:r>
      <w:r w:rsidRPr="003506E5">
        <w:instrText xml:space="preserve"> SEQ Table \* ARABIC </w:instrText>
      </w:r>
      <w:r w:rsidR="00B76041" w:rsidRPr="003506E5">
        <w:fldChar w:fldCharType="separate"/>
      </w:r>
      <w:r w:rsidR="00AE4FA0">
        <w:rPr>
          <w:noProof/>
        </w:rPr>
        <w:t>16</w:t>
      </w:r>
      <w:r w:rsidR="00B76041" w:rsidRPr="003506E5">
        <w:fldChar w:fldCharType="end"/>
      </w:r>
      <w:r w:rsidR="00B76041" w:rsidRPr="003506E5">
        <w:t xml:space="preserve">: </w:t>
      </w:r>
      <w:r w:rsidR="00944FF3">
        <w:t xml:space="preserve">Annualised </w:t>
      </w:r>
      <w:r w:rsidR="00B76041" w:rsidRPr="003506E5">
        <w:t>Utilisation Rat</w:t>
      </w:r>
      <w:r w:rsidR="00944FF3">
        <w:t>es</w:t>
      </w:r>
      <w:r w:rsidR="00B76041" w:rsidRPr="003506E5">
        <w:t xml:space="preserve"> </w:t>
      </w:r>
      <w:r w:rsidR="00944FF3">
        <w:t xml:space="preserve">for 2020 </w:t>
      </w:r>
      <w:r w:rsidR="00B76041" w:rsidRPr="003506E5">
        <w:t>by Age, Gender and type of Enrolment</w:t>
      </w:r>
      <w:bookmarkEnd w:id="49"/>
    </w:p>
    <w:tbl>
      <w:tblPr>
        <w:tblW w:w="9175" w:type="dxa"/>
        <w:tblInd w:w="-5" w:type="dxa"/>
        <w:tblBorders>
          <w:top w:val="single" w:sz="8" w:space="0" w:color="45A7E1"/>
          <w:left w:val="single" w:sz="8" w:space="0" w:color="45A7E1"/>
          <w:bottom w:val="single" w:sz="8" w:space="0" w:color="45A7E1"/>
          <w:right w:val="single" w:sz="8" w:space="0" w:color="45A7E1"/>
          <w:insideH w:val="single" w:sz="8" w:space="0" w:color="45A7E1"/>
          <w:insideV w:val="single" w:sz="8" w:space="0" w:color="45A7E1"/>
        </w:tblBorders>
        <w:tblLayout w:type="fixed"/>
        <w:tblLook w:val="04A0" w:firstRow="1" w:lastRow="0" w:firstColumn="1" w:lastColumn="0" w:noHBand="0" w:noVBand="1"/>
      </w:tblPr>
      <w:tblGrid>
        <w:gridCol w:w="1960"/>
        <w:gridCol w:w="1005"/>
        <w:gridCol w:w="810"/>
        <w:gridCol w:w="900"/>
        <w:gridCol w:w="990"/>
        <w:gridCol w:w="810"/>
        <w:gridCol w:w="990"/>
        <w:gridCol w:w="1710"/>
      </w:tblGrid>
      <w:tr w:rsidR="00944FF3" w:rsidRPr="00AB09CE" w14:paraId="7C273E98" w14:textId="77777777" w:rsidTr="00351CC2">
        <w:trPr>
          <w:trHeight w:val="290"/>
        </w:trPr>
        <w:tc>
          <w:tcPr>
            <w:tcW w:w="1960" w:type="dxa"/>
            <w:vMerge w:val="restart"/>
            <w:shd w:val="clear" w:color="000000" w:fill="0B1F51"/>
            <w:vAlign w:val="center"/>
            <w:hideMark/>
          </w:tcPr>
          <w:p w14:paraId="0B9FD10A" w14:textId="77777777" w:rsidR="00944FF3" w:rsidRPr="00AB09CE" w:rsidRDefault="00944FF3" w:rsidP="00351CC2">
            <w:pPr>
              <w:spacing w:after="0" w:line="240" w:lineRule="auto"/>
              <w:rPr>
                <w:rFonts w:asciiTheme="minorBidi" w:eastAsia="Times New Roman" w:hAnsiTheme="minorBidi" w:cstheme="minorBidi"/>
                <w:b/>
                <w:bCs/>
                <w:color w:val="FFFFFF"/>
                <w:sz w:val="20"/>
                <w:szCs w:val="20"/>
                <w:lang w:val="en-US" w:eastAsia="en-US"/>
              </w:rPr>
            </w:pPr>
            <w:r w:rsidRPr="00AB09CE">
              <w:rPr>
                <w:rFonts w:asciiTheme="minorBidi" w:eastAsia="Times New Roman" w:hAnsiTheme="minorBidi" w:cstheme="minorBidi"/>
                <w:b/>
                <w:bCs/>
                <w:color w:val="FFFFFF"/>
                <w:sz w:val="20"/>
                <w:szCs w:val="20"/>
                <w:lang w:val="en-US" w:eastAsia="en-US"/>
              </w:rPr>
              <w:t>Age Group</w:t>
            </w:r>
          </w:p>
        </w:tc>
        <w:tc>
          <w:tcPr>
            <w:tcW w:w="2715" w:type="dxa"/>
            <w:gridSpan w:val="3"/>
            <w:shd w:val="clear" w:color="auto" w:fill="002060"/>
            <w:noWrap/>
            <w:vAlign w:val="bottom"/>
            <w:hideMark/>
          </w:tcPr>
          <w:p w14:paraId="0D2326EE" w14:textId="77777777" w:rsidR="00944FF3" w:rsidRPr="00AB09CE" w:rsidRDefault="00944FF3" w:rsidP="00351CC2">
            <w:pPr>
              <w:spacing w:after="0" w:line="240" w:lineRule="auto"/>
              <w:jc w:val="center"/>
              <w:rPr>
                <w:rFonts w:asciiTheme="minorBidi" w:eastAsia="Times New Roman" w:hAnsiTheme="minorBidi" w:cstheme="minorBidi"/>
                <w:b/>
                <w:bCs/>
                <w:sz w:val="20"/>
                <w:szCs w:val="20"/>
                <w:lang w:val="en-US" w:eastAsia="en-US"/>
              </w:rPr>
            </w:pPr>
            <w:r w:rsidRPr="00AB09CE">
              <w:rPr>
                <w:rFonts w:asciiTheme="minorBidi" w:eastAsia="Times New Roman" w:hAnsiTheme="minorBidi" w:cstheme="minorBidi"/>
                <w:b/>
                <w:bCs/>
                <w:sz w:val="20"/>
                <w:szCs w:val="20"/>
                <w:lang w:val="en-US" w:eastAsia="en-US"/>
              </w:rPr>
              <w:t>Female</w:t>
            </w:r>
          </w:p>
        </w:tc>
        <w:tc>
          <w:tcPr>
            <w:tcW w:w="2790" w:type="dxa"/>
            <w:gridSpan w:val="3"/>
            <w:shd w:val="clear" w:color="auto" w:fill="002060"/>
            <w:noWrap/>
            <w:vAlign w:val="bottom"/>
            <w:hideMark/>
          </w:tcPr>
          <w:p w14:paraId="18993814" w14:textId="77777777" w:rsidR="00944FF3" w:rsidRPr="00AB09CE" w:rsidRDefault="00944FF3" w:rsidP="00351CC2">
            <w:pPr>
              <w:spacing w:after="0" w:line="240" w:lineRule="auto"/>
              <w:jc w:val="center"/>
              <w:rPr>
                <w:rFonts w:asciiTheme="minorBidi" w:eastAsia="Times New Roman" w:hAnsiTheme="minorBidi" w:cstheme="minorBidi"/>
                <w:b/>
                <w:bCs/>
                <w:sz w:val="20"/>
                <w:szCs w:val="20"/>
                <w:lang w:val="en-US" w:eastAsia="en-US"/>
              </w:rPr>
            </w:pPr>
            <w:r w:rsidRPr="00AB09CE">
              <w:rPr>
                <w:rFonts w:asciiTheme="minorBidi" w:eastAsia="Times New Roman" w:hAnsiTheme="minorBidi" w:cstheme="minorBidi"/>
                <w:b/>
                <w:bCs/>
                <w:sz w:val="20"/>
                <w:szCs w:val="20"/>
                <w:lang w:val="en-US" w:eastAsia="en-US"/>
              </w:rPr>
              <w:t>Male</w:t>
            </w:r>
          </w:p>
        </w:tc>
        <w:tc>
          <w:tcPr>
            <w:tcW w:w="1710" w:type="dxa"/>
            <w:vMerge w:val="restart"/>
            <w:shd w:val="clear" w:color="auto" w:fill="002060"/>
            <w:vAlign w:val="center"/>
          </w:tcPr>
          <w:p w14:paraId="490912E9" w14:textId="77777777" w:rsidR="00944FF3" w:rsidRPr="00AB09CE" w:rsidRDefault="00944FF3" w:rsidP="00351CC2">
            <w:pPr>
              <w:spacing w:after="0" w:line="240" w:lineRule="auto"/>
              <w:jc w:val="center"/>
              <w:rPr>
                <w:rFonts w:asciiTheme="minorBidi" w:eastAsia="Times New Roman" w:hAnsiTheme="minorBidi" w:cstheme="minorBidi"/>
                <w:b/>
                <w:bCs/>
                <w:sz w:val="20"/>
                <w:szCs w:val="20"/>
                <w:lang w:val="en-US" w:eastAsia="en-US"/>
              </w:rPr>
            </w:pPr>
            <w:r>
              <w:rPr>
                <w:rFonts w:asciiTheme="minorBidi" w:eastAsia="Times New Roman" w:hAnsiTheme="minorBidi" w:cstheme="minorBidi"/>
                <w:b/>
                <w:bCs/>
                <w:sz w:val="20"/>
                <w:szCs w:val="20"/>
                <w:lang w:val="en-US" w:eastAsia="en-US"/>
              </w:rPr>
              <w:t>Overall</w:t>
            </w:r>
          </w:p>
        </w:tc>
      </w:tr>
      <w:tr w:rsidR="00944FF3" w:rsidRPr="00AB09CE" w14:paraId="7123D218" w14:textId="77777777" w:rsidTr="00351CC2">
        <w:trPr>
          <w:trHeight w:val="290"/>
        </w:trPr>
        <w:tc>
          <w:tcPr>
            <w:tcW w:w="1960" w:type="dxa"/>
            <w:vMerge/>
            <w:vAlign w:val="center"/>
            <w:hideMark/>
          </w:tcPr>
          <w:p w14:paraId="08995824" w14:textId="77777777" w:rsidR="00944FF3" w:rsidRPr="00AB09CE" w:rsidRDefault="00944FF3" w:rsidP="00351CC2">
            <w:pPr>
              <w:spacing w:after="0" w:line="240" w:lineRule="auto"/>
              <w:rPr>
                <w:rFonts w:asciiTheme="minorBidi" w:eastAsia="Times New Roman" w:hAnsiTheme="minorBidi" w:cstheme="minorBidi"/>
                <w:b/>
                <w:bCs/>
                <w:color w:val="FFFFFF"/>
                <w:sz w:val="20"/>
                <w:szCs w:val="20"/>
                <w:lang w:val="en-US" w:eastAsia="en-US"/>
              </w:rPr>
            </w:pPr>
          </w:p>
        </w:tc>
        <w:tc>
          <w:tcPr>
            <w:tcW w:w="1005" w:type="dxa"/>
            <w:shd w:val="clear" w:color="auto" w:fill="002060"/>
            <w:noWrap/>
            <w:vAlign w:val="bottom"/>
            <w:hideMark/>
          </w:tcPr>
          <w:p w14:paraId="7DD7078F" w14:textId="77777777" w:rsidR="00944FF3" w:rsidRPr="00AB09CE" w:rsidRDefault="00944FF3" w:rsidP="00351CC2">
            <w:pPr>
              <w:spacing w:after="0" w:line="240" w:lineRule="auto"/>
              <w:jc w:val="center"/>
              <w:rPr>
                <w:rFonts w:asciiTheme="minorBidi" w:eastAsia="Times New Roman" w:hAnsiTheme="minorBidi" w:cstheme="minorBidi"/>
                <w:b/>
                <w:bCs/>
                <w:sz w:val="20"/>
                <w:szCs w:val="20"/>
                <w:lang w:val="en-US" w:eastAsia="en-US"/>
              </w:rPr>
            </w:pPr>
            <w:r w:rsidRPr="00AB09CE">
              <w:rPr>
                <w:rFonts w:asciiTheme="minorBidi" w:eastAsia="Times New Roman" w:hAnsiTheme="minorBidi" w:cstheme="minorBidi"/>
                <w:b/>
                <w:bCs/>
                <w:sz w:val="20"/>
                <w:szCs w:val="20"/>
                <w:lang w:val="en-US" w:eastAsia="en-US"/>
              </w:rPr>
              <w:t>Eligible</w:t>
            </w:r>
          </w:p>
        </w:tc>
        <w:tc>
          <w:tcPr>
            <w:tcW w:w="810" w:type="dxa"/>
            <w:shd w:val="clear" w:color="auto" w:fill="002060"/>
            <w:noWrap/>
            <w:vAlign w:val="bottom"/>
            <w:hideMark/>
          </w:tcPr>
          <w:p w14:paraId="3D49F8C7" w14:textId="77777777" w:rsidR="00944FF3" w:rsidRPr="00AB09CE" w:rsidRDefault="00944FF3" w:rsidP="00351CC2">
            <w:pPr>
              <w:spacing w:after="0" w:line="240" w:lineRule="auto"/>
              <w:jc w:val="center"/>
              <w:rPr>
                <w:rFonts w:asciiTheme="minorBidi" w:eastAsia="Times New Roman" w:hAnsiTheme="minorBidi" w:cstheme="minorBidi"/>
                <w:b/>
                <w:bCs/>
                <w:sz w:val="20"/>
                <w:szCs w:val="20"/>
                <w:lang w:val="en-US" w:eastAsia="en-US"/>
              </w:rPr>
            </w:pPr>
            <w:r w:rsidRPr="00AB09CE">
              <w:rPr>
                <w:rFonts w:asciiTheme="minorBidi" w:eastAsia="Times New Roman" w:hAnsiTheme="minorBidi" w:cstheme="minorBidi"/>
                <w:b/>
                <w:bCs/>
                <w:sz w:val="20"/>
                <w:szCs w:val="20"/>
                <w:lang w:val="en-US" w:eastAsia="en-US"/>
              </w:rPr>
              <w:t>Wider</w:t>
            </w:r>
          </w:p>
        </w:tc>
        <w:tc>
          <w:tcPr>
            <w:tcW w:w="900" w:type="dxa"/>
            <w:shd w:val="clear" w:color="auto" w:fill="002060"/>
            <w:noWrap/>
            <w:vAlign w:val="bottom"/>
            <w:hideMark/>
          </w:tcPr>
          <w:p w14:paraId="59D9BFA3" w14:textId="77777777" w:rsidR="00944FF3" w:rsidRPr="00AB09CE" w:rsidRDefault="00944FF3" w:rsidP="00351CC2">
            <w:pPr>
              <w:spacing w:after="0" w:line="240" w:lineRule="auto"/>
              <w:jc w:val="center"/>
              <w:rPr>
                <w:rFonts w:asciiTheme="minorBidi" w:eastAsia="Times New Roman" w:hAnsiTheme="minorBidi" w:cstheme="minorBidi"/>
                <w:b/>
                <w:bCs/>
                <w:sz w:val="20"/>
                <w:szCs w:val="20"/>
                <w:lang w:val="en-US" w:eastAsia="en-US"/>
              </w:rPr>
            </w:pPr>
            <w:r w:rsidRPr="00AB09CE">
              <w:rPr>
                <w:rFonts w:asciiTheme="minorBidi" w:eastAsia="Times New Roman" w:hAnsiTheme="minorBidi" w:cstheme="minorBidi"/>
                <w:b/>
                <w:bCs/>
                <w:sz w:val="20"/>
                <w:szCs w:val="20"/>
                <w:lang w:val="en-US" w:eastAsia="en-US"/>
              </w:rPr>
              <w:t>Total</w:t>
            </w:r>
          </w:p>
        </w:tc>
        <w:tc>
          <w:tcPr>
            <w:tcW w:w="990" w:type="dxa"/>
            <w:shd w:val="clear" w:color="auto" w:fill="002060"/>
            <w:noWrap/>
            <w:vAlign w:val="bottom"/>
            <w:hideMark/>
          </w:tcPr>
          <w:p w14:paraId="1199A5C9" w14:textId="77777777" w:rsidR="00944FF3" w:rsidRPr="00AB09CE" w:rsidRDefault="00944FF3" w:rsidP="00351CC2">
            <w:pPr>
              <w:spacing w:after="0" w:line="240" w:lineRule="auto"/>
              <w:jc w:val="center"/>
              <w:rPr>
                <w:rFonts w:asciiTheme="minorBidi" w:eastAsia="Times New Roman" w:hAnsiTheme="minorBidi" w:cstheme="minorBidi"/>
                <w:b/>
                <w:bCs/>
                <w:sz w:val="20"/>
                <w:szCs w:val="20"/>
                <w:lang w:val="en-US" w:eastAsia="en-US"/>
              </w:rPr>
            </w:pPr>
            <w:r w:rsidRPr="00AB09CE">
              <w:rPr>
                <w:rFonts w:asciiTheme="minorBidi" w:eastAsia="Times New Roman" w:hAnsiTheme="minorBidi" w:cstheme="minorBidi"/>
                <w:b/>
                <w:bCs/>
                <w:sz w:val="20"/>
                <w:szCs w:val="20"/>
                <w:lang w:val="en-US" w:eastAsia="en-US"/>
              </w:rPr>
              <w:t>Eligible</w:t>
            </w:r>
          </w:p>
        </w:tc>
        <w:tc>
          <w:tcPr>
            <w:tcW w:w="810" w:type="dxa"/>
            <w:shd w:val="clear" w:color="auto" w:fill="002060"/>
            <w:noWrap/>
            <w:vAlign w:val="bottom"/>
            <w:hideMark/>
          </w:tcPr>
          <w:p w14:paraId="4E79D421" w14:textId="77777777" w:rsidR="00944FF3" w:rsidRPr="00AB09CE" w:rsidRDefault="00944FF3" w:rsidP="00351CC2">
            <w:pPr>
              <w:spacing w:after="0" w:line="240" w:lineRule="auto"/>
              <w:jc w:val="center"/>
              <w:rPr>
                <w:rFonts w:asciiTheme="minorBidi" w:eastAsia="Times New Roman" w:hAnsiTheme="minorBidi" w:cstheme="minorBidi"/>
                <w:b/>
                <w:bCs/>
                <w:sz w:val="20"/>
                <w:szCs w:val="20"/>
                <w:lang w:val="en-US" w:eastAsia="en-US"/>
              </w:rPr>
            </w:pPr>
            <w:r w:rsidRPr="00AB09CE">
              <w:rPr>
                <w:rFonts w:asciiTheme="minorBidi" w:eastAsia="Times New Roman" w:hAnsiTheme="minorBidi" w:cstheme="minorBidi"/>
                <w:b/>
                <w:bCs/>
                <w:sz w:val="20"/>
                <w:szCs w:val="20"/>
                <w:lang w:val="en-US" w:eastAsia="en-US"/>
              </w:rPr>
              <w:t>Wider</w:t>
            </w:r>
          </w:p>
        </w:tc>
        <w:tc>
          <w:tcPr>
            <w:tcW w:w="990" w:type="dxa"/>
            <w:shd w:val="clear" w:color="auto" w:fill="002060"/>
            <w:noWrap/>
            <w:vAlign w:val="bottom"/>
            <w:hideMark/>
          </w:tcPr>
          <w:p w14:paraId="32CBD419" w14:textId="77777777" w:rsidR="00944FF3" w:rsidRPr="00AB09CE" w:rsidRDefault="00944FF3" w:rsidP="00351CC2">
            <w:pPr>
              <w:spacing w:after="0" w:line="240" w:lineRule="auto"/>
              <w:jc w:val="center"/>
              <w:rPr>
                <w:rFonts w:asciiTheme="minorBidi" w:eastAsia="Times New Roman" w:hAnsiTheme="minorBidi" w:cstheme="minorBidi"/>
                <w:b/>
                <w:bCs/>
                <w:sz w:val="20"/>
                <w:szCs w:val="20"/>
                <w:lang w:val="en-US" w:eastAsia="en-US"/>
              </w:rPr>
            </w:pPr>
            <w:r w:rsidRPr="00AB09CE">
              <w:rPr>
                <w:rFonts w:asciiTheme="minorBidi" w:eastAsia="Times New Roman" w:hAnsiTheme="minorBidi" w:cstheme="minorBidi"/>
                <w:b/>
                <w:bCs/>
                <w:sz w:val="20"/>
                <w:szCs w:val="20"/>
                <w:lang w:val="en-US" w:eastAsia="en-US"/>
              </w:rPr>
              <w:t>Total</w:t>
            </w:r>
          </w:p>
        </w:tc>
        <w:tc>
          <w:tcPr>
            <w:tcW w:w="1710" w:type="dxa"/>
            <w:vMerge/>
            <w:shd w:val="clear" w:color="auto" w:fill="002060"/>
            <w:vAlign w:val="center"/>
            <w:hideMark/>
          </w:tcPr>
          <w:p w14:paraId="5094A251" w14:textId="77777777" w:rsidR="00944FF3" w:rsidRPr="00AB09CE" w:rsidRDefault="00944FF3" w:rsidP="00351CC2">
            <w:pPr>
              <w:spacing w:after="0" w:line="240" w:lineRule="auto"/>
              <w:jc w:val="center"/>
              <w:rPr>
                <w:rFonts w:asciiTheme="minorBidi" w:eastAsia="Times New Roman" w:hAnsiTheme="minorBidi" w:cstheme="minorBidi"/>
                <w:b/>
                <w:bCs/>
                <w:sz w:val="20"/>
                <w:szCs w:val="20"/>
                <w:lang w:val="en-US" w:eastAsia="en-US"/>
              </w:rPr>
            </w:pPr>
          </w:p>
        </w:tc>
      </w:tr>
      <w:tr w:rsidR="00944FF3" w:rsidRPr="00AB09CE" w14:paraId="347CCD9E" w14:textId="77777777" w:rsidTr="003C76B8">
        <w:trPr>
          <w:trHeight w:val="290"/>
        </w:trPr>
        <w:tc>
          <w:tcPr>
            <w:tcW w:w="1960" w:type="dxa"/>
            <w:shd w:val="clear" w:color="auto" w:fill="DAE4EC" w:themeFill="background2"/>
            <w:vAlign w:val="center"/>
            <w:hideMark/>
          </w:tcPr>
          <w:p w14:paraId="063FC64D" w14:textId="77777777" w:rsidR="00944FF3" w:rsidRPr="00AB09CE" w:rsidRDefault="00944FF3" w:rsidP="00351CC2">
            <w:pPr>
              <w:spacing w:after="0" w:line="240" w:lineRule="auto"/>
              <w:rPr>
                <w:rFonts w:asciiTheme="minorBidi" w:eastAsia="Times New Roman" w:hAnsiTheme="minorBidi" w:cstheme="minorBidi"/>
                <w:b/>
                <w:bCs/>
                <w:color w:val="0B1F51"/>
                <w:sz w:val="20"/>
                <w:szCs w:val="20"/>
                <w:lang w:val="en-US" w:eastAsia="en-US"/>
              </w:rPr>
            </w:pPr>
            <w:r w:rsidRPr="00AB09CE">
              <w:rPr>
                <w:rFonts w:asciiTheme="minorBidi" w:eastAsia="Times New Roman" w:hAnsiTheme="minorBidi" w:cstheme="minorBidi"/>
                <w:b/>
                <w:bCs/>
                <w:color w:val="0B1F51"/>
                <w:sz w:val="20"/>
                <w:szCs w:val="20"/>
                <w:lang w:val="en-US" w:eastAsia="en-US"/>
              </w:rPr>
              <w:t xml:space="preserve">Less than 1  </w:t>
            </w:r>
          </w:p>
        </w:tc>
        <w:tc>
          <w:tcPr>
            <w:tcW w:w="1005" w:type="dxa"/>
            <w:shd w:val="clear" w:color="auto" w:fill="DAE4EC" w:themeFill="background2"/>
            <w:noWrap/>
            <w:vAlign w:val="center"/>
          </w:tcPr>
          <w:p w14:paraId="57A73AE2" w14:textId="77777777" w:rsidR="00944FF3" w:rsidRDefault="00944FF3" w:rsidP="00351CC2">
            <w:pPr>
              <w:spacing w:after="0" w:line="240" w:lineRule="auto"/>
              <w:jc w:val="center"/>
              <w:rPr>
                <w:rFonts w:ascii="Calibri" w:hAnsi="Calibri" w:cs="Calibri"/>
                <w:color w:val="000000"/>
                <w:lang w:val="en-US" w:eastAsia="en-US"/>
              </w:rPr>
            </w:pPr>
            <w:r>
              <w:rPr>
                <w:rFonts w:ascii="Calibri" w:hAnsi="Calibri" w:cs="Calibri"/>
                <w:color w:val="000000"/>
              </w:rPr>
              <w:t>0.0%</w:t>
            </w:r>
          </w:p>
        </w:tc>
        <w:tc>
          <w:tcPr>
            <w:tcW w:w="810" w:type="dxa"/>
            <w:shd w:val="clear" w:color="auto" w:fill="DAE4EC" w:themeFill="background2"/>
            <w:noWrap/>
            <w:vAlign w:val="center"/>
          </w:tcPr>
          <w:p w14:paraId="458AD1CF" w14:textId="77777777" w:rsidR="00944FF3" w:rsidRDefault="00944FF3" w:rsidP="00351CC2">
            <w:pPr>
              <w:spacing w:after="0" w:line="240" w:lineRule="auto"/>
              <w:jc w:val="center"/>
              <w:rPr>
                <w:rFonts w:ascii="Calibri" w:hAnsi="Calibri" w:cs="Calibri"/>
                <w:color w:val="000000"/>
              </w:rPr>
            </w:pPr>
            <w:r>
              <w:rPr>
                <w:rFonts w:ascii="Calibri" w:hAnsi="Calibri" w:cs="Calibri"/>
                <w:color w:val="000000"/>
              </w:rPr>
              <w:t>2.2%</w:t>
            </w:r>
          </w:p>
        </w:tc>
        <w:tc>
          <w:tcPr>
            <w:tcW w:w="900" w:type="dxa"/>
            <w:shd w:val="clear" w:color="auto" w:fill="DAE4EC" w:themeFill="background2"/>
            <w:noWrap/>
            <w:vAlign w:val="center"/>
          </w:tcPr>
          <w:p w14:paraId="799FC6A4" w14:textId="77777777" w:rsidR="00944FF3" w:rsidRDefault="00944FF3" w:rsidP="00351CC2">
            <w:pPr>
              <w:spacing w:after="0" w:line="240" w:lineRule="auto"/>
              <w:jc w:val="center"/>
              <w:rPr>
                <w:rFonts w:ascii="Calibri" w:hAnsi="Calibri" w:cs="Calibri"/>
                <w:color w:val="000000"/>
              </w:rPr>
            </w:pPr>
            <w:r>
              <w:rPr>
                <w:rFonts w:ascii="Calibri" w:hAnsi="Calibri" w:cs="Calibri"/>
                <w:color w:val="000000"/>
              </w:rPr>
              <w:t>1.9%</w:t>
            </w:r>
          </w:p>
        </w:tc>
        <w:tc>
          <w:tcPr>
            <w:tcW w:w="990" w:type="dxa"/>
            <w:shd w:val="clear" w:color="auto" w:fill="DAE4EC" w:themeFill="background2"/>
            <w:noWrap/>
            <w:vAlign w:val="center"/>
          </w:tcPr>
          <w:p w14:paraId="0194769F" w14:textId="77777777" w:rsidR="00944FF3" w:rsidRDefault="00944FF3" w:rsidP="00351CC2">
            <w:pPr>
              <w:spacing w:after="0" w:line="240" w:lineRule="auto"/>
              <w:jc w:val="center"/>
              <w:rPr>
                <w:rFonts w:ascii="Calibri" w:hAnsi="Calibri" w:cs="Calibri"/>
                <w:color w:val="000000"/>
              </w:rPr>
            </w:pPr>
            <w:r>
              <w:rPr>
                <w:rFonts w:ascii="Calibri" w:hAnsi="Calibri" w:cs="Calibri"/>
                <w:color w:val="000000"/>
              </w:rPr>
              <w:t>0.0%</w:t>
            </w:r>
          </w:p>
        </w:tc>
        <w:tc>
          <w:tcPr>
            <w:tcW w:w="810" w:type="dxa"/>
            <w:shd w:val="clear" w:color="auto" w:fill="DAE4EC" w:themeFill="background2"/>
            <w:noWrap/>
            <w:vAlign w:val="center"/>
          </w:tcPr>
          <w:p w14:paraId="37975AC0" w14:textId="77777777" w:rsidR="00944FF3" w:rsidRDefault="00944FF3" w:rsidP="00351CC2">
            <w:pPr>
              <w:spacing w:after="0" w:line="240" w:lineRule="auto"/>
              <w:jc w:val="center"/>
              <w:rPr>
                <w:rFonts w:ascii="Calibri" w:hAnsi="Calibri" w:cs="Calibri"/>
                <w:color w:val="000000"/>
              </w:rPr>
            </w:pPr>
            <w:r>
              <w:rPr>
                <w:rFonts w:ascii="Calibri" w:hAnsi="Calibri" w:cs="Calibri"/>
                <w:color w:val="000000"/>
              </w:rPr>
              <w:t>2.7%</w:t>
            </w:r>
          </w:p>
        </w:tc>
        <w:tc>
          <w:tcPr>
            <w:tcW w:w="990" w:type="dxa"/>
            <w:shd w:val="clear" w:color="auto" w:fill="DAE4EC" w:themeFill="background2"/>
            <w:noWrap/>
            <w:vAlign w:val="center"/>
          </w:tcPr>
          <w:p w14:paraId="448138F0" w14:textId="77777777" w:rsidR="00944FF3" w:rsidRDefault="00944FF3" w:rsidP="00351CC2">
            <w:pPr>
              <w:spacing w:after="0" w:line="240" w:lineRule="auto"/>
              <w:jc w:val="center"/>
              <w:rPr>
                <w:rFonts w:ascii="Calibri" w:hAnsi="Calibri" w:cs="Calibri"/>
                <w:color w:val="000000"/>
              </w:rPr>
            </w:pPr>
            <w:r>
              <w:rPr>
                <w:rFonts w:ascii="Calibri" w:hAnsi="Calibri" w:cs="Calibri"/>
                <w:color w:val="000000"/>
              </w:rPr>
              <w:t>2.4%</w:t>
            </w:r>
          </w:p>
        </w:tc>
        <w:tc>
          <w:tcPr>
            <w:tcW w:w="1710" w:type="dxa"/>
            <w:shd w:val="clear" w:color="auto" w:fill="DAE4EC" w:themeFill="background2"/>
            <w:noWrap/>
            <w:vAlign w:val="center"/>
          </w:tcPr>
          <w:p w14:paraId="2C72358B" w14:textId="77777777" w:rsidR="00944FF3" w:rsidRDefault="00944FF3" w:rsidP="00351CC2">
            <w:pPr>
              <w:spacing w:after="0" w:line="240" w:lineRule="auto"/>
              <w:jc w:val="center"/>
              <w:rPr>
                <w:rFonts w:ascii="Calibri" w:hAnsi="Calibri" w:cs="Calibri"/>
                <w:color w:val="000000"/>
              </w:rPr>
            </w:pPr>
            <w:r>
              <w:rPr>
                <w:rFonts w:ascii="Calibri" w:hAnsi="Calibri" w:cs="Calibri"/>
                <w:color w:val="000000"/>
              </w:rPr>
              <w:t>2.1%</w:t>
            </w:r>
          </w:p>
        </w:tc>
      </w:tr>
      <w:tr w:rsidR="00944FF3" w:rsidRPr="00AB09CE" w14:paraId="6AAFAB1A" w14:textId="77777777" w:rsidTr="003C76B8">
        <w:trPr>
          <w:trHeight w:val="290"/>
        </w:trPr>
        <w:tc>
          <w:tcPr>
            <w:tcW w:w="1960" w:type="dxa"/>
            <w:shd w:val="clear" w:color="auto" w:fill="DAE4EC" w:themeFill="background2"/>
            <w:vAlign w:val="center"/>
            <w:hideMark/>
          </w:tcPr>
          <w:p w14:paraId="32E9021D" w14:textId="77777777" w:rsidR="00944FF3" w:rsidRPr="00AB09CE" w:rsidRDefault="00944FF3" w:rsidP="00351CC2">
            <w:pPr>
              <w:spacing w:after="0" w:line="240" w:lineRule="auto"/>
              <w:rPr>
                <w:rFonts w:asciiTheme="minorBidi" w:eastAsia="Times New Roman" w:hAnsiTheme="minorBidi" w:cstheme="minorBidi"/>
                <w:b/>
                <w:bCs/>
                <w:color w:val="0B1F51"/>
                <w:sz w:val="20"/>
                <w:szCs w:val="20"/>
                <w:lang w:val="en-US" w:eastAsia="en-US"/>
              </w:rPr>
            </w:pPr>
            <w:r w:rsidRPr="00AB09CE">
              <w:rPr>
                <w:rFonts w:asciiTheme="minorBidi" w:eastAsia="Times New Roman" w:hAnsiTheme="minorBidi" w:cstheme="minorBidi"/>
                <w:b/>
                <w:bCs/>
                <w:color w:val="0B1F51"/>
                <w:sz w:val="20"/>
                <w:szCs w:val="20"/>
                <w:lang w:val="en-US" w:eastAsia="en-US"/>
              </w:rPr>
              <w:t>1 to 04 yrs.</w:t>
            </w:r>
          </w:p>
        </w:tc>
        <w:tc>
          <w:tcPr>
            <w:tcW w:w="1005" w:type="dxa"/>
            <w:shd w:val="clear" w:color="auto" w:fill="DAE4EC" w:themeFill="background2"/>
            <w:noWrap/>
            <w:vAlign w:val="center"/>
          </w:tcPr>
          <w:p w14:paraId="3002D29A" w14:textId="77777777" w:rsidR="00944FF3" w:rsidRDefault="00944FF3" w:rsidP="00351CC2">
            <w:pPr>
              <w:spacing w:after="0" w:line="240" w:lineRule="auto"/>
              <w:jc w:val="center"/>
              <w:rPr>
                <w:rFonts w:ascii="Calibri" w:hAnsi="Calibri" w:cs="Calibri"/>
                <w:color w:val="000000"/>
              </w:rPr>
            </w:pPr>
            <w:r>
              <w:rPr>
                <w:rFonts w:ascii="Calibri" w:hAnsi="Calibri" w:cs="Calibri"/>
                <w:color w:val="000000"/>
              </w:rPr>
              <w:t>0.0%</w:t>
            </w:r>
          </w:p>
        </w:tc>
        <w:tc>
          <w:tcPr>
            <w:tcW w:w="810" w:type="dxa"/>
            <w:shd w:val="clear" w:color="auto" w:fill="DAE4EC" w:themeFill="background2"/>
            <w:noWrap/>
            <w:vAlign w:val="center"/>
          </w:tcPr>
          <w:p w14:paraId="77561D08" w14:textId="77777777" w:rsidR="00944FF3" w:rsidRDefault="00944FF3" w:rsidP="00351CC2">
            <w:pPr>
              <w:spacing w:after="0" w:line="240" w:lineRule="auto"/>
              <w:jc w:val="center"/>
              <w:rPr>
                <w:rFonts w:ascii="Calibri" w:hAnsi="Calibri" w:cs="Calibri"/>
                <w:color w:val="000000"/>
              </w:rPr>
            </w:pPr>
            <w:r>
              <w:rPr>
                <w:rFonts w:ascii="Calibri" w:hAnsi="Calibri" w:cs="Calibri"/>
                <w:color w:val="000000"/>
              </w:rPr>
              <w:t>2.3%</w:t>
            </w:r>
          </w:p>
        </w:tc>
        <w:tc>
          <w:tcPr>
            <w:tcW w:w="900" w:type="dxa"/>
            <w:shd w:val="clear" w:color="auto" w:fill="DAE4EC" w:themeFill="background2"/>
            <w:noWrap/>
            <w:vAlign w:val="center"/>
          </w:tcPr>
          <w:p w14:paraId="3DA4B9DC" w14:textId="77777777" w:rsidR="00944FF3" w:rsidRDefault="00944FF3" w:rsidP="00351CC2">
            <w:pPr>
              <w:spacing w:after="0" w:line="240" w:lineRule="auto"/>
              <w:jc w:val="center"/>
              <w:rPr>
                <w:rFonts w:ascii="Calibri" w:hAnsi="Calibri" w:cs="Calibri"/>
                <w:color w:val="000000"/>
              </w:rPr>
            </w:pPr>
            <w:r>
              <w:rPr>
                <w:rFonts w:ascii="Calibri" w:hAnsi="Calibri" w:cs="Calibri"/>
                <w:color w:val="000000"/>
              </w:rPr>
              <w:t>1.5%</w:t>
            </w:r>
          </w:p>
        </w:tc>
        <w:tc>
          <w:tcPr>
            <w:tcW w:w="990" w:type="dxa"/>
            <w:shd w:val="clear" w:color="auto" w:fill="DAE4EC" w:themeFill="background2"/>
            <w:noWrap/>
            <w:vAlign w:val="center"/>
          </w:tcPr>
          <w:p w14:paraId="737B13CC" w14:textId="77777777" w:rsidR="00944FF3" w:rsidRDefault="00944FF3" w:rsidP="00351CC2">
            <w:pPr>
              <w:spacing w:after="0" w:line="240" w:lineRule="auto"/>
              <w:jc w:val="center"/>
              <w:rPr>
                <w:rFonts w:ascii="Calibri" w:hAnsi="Calibri" w:cs="Calibri"/>
                <w:color w:val="000000"/>
              </w:rPr>
            </w:pPr>
            <w:r>
              <w:rPr>
                <w:rFonts w:ascii="Calibri" w:hAnsi="Calibri" w:cs="Calibri"/>
                <w:color w:val="000000"/>
              </w:rPr>
              <w:t>0.0%</w:t>
            </w:r>
          </w:p>
        </w:tc>
        <w:tc>
          <w:tcPr>
            <w:tcW w:w="810" w:type="dxa"/>
            <w:shd w:val="clear" w:color="auto" w:fill="DAE4EC" w:themeFill="background2"/>
            <w:noWrap/>
            <w:vAlign w:val="center"/>
          </w:tcPr>
          <w:p w14:paraId="53B36202" w14:textId="77777777" w:rsidR="00944FF3" w:rsidRDefault="00944FF3" w:rsidP="00351CC2">
            <w:pPr>
              <w:spacing w:after="0" w:line="240" w:lineRule="auto"/>
              <w:jc w:val="center"/>
              <w:rPr>
                <w:rFonts w:ascii="Calibri" w:hAnsi="Calibri" w:cs="Calibri"/>
                <w:color w:val="000000"/>
              </w:rPr>
            </w:pPr>
            <w:r>
              <w:rPr>
                <w:rFonts w:ascii="Calibri" w:hAnsi="Calibri" w:cs="Calibri"/>
                <w:color w:val="000000"/>
              </w:rPr>
              <w:t>2.9%</w:t>
            </w:r>
          </w:p>
        </w:tc>
        <w:tc>
          <w:tcPr>
            <w:tcW w:w="990" w:type="dxa"/>
            <w:shd w:val="clear" w:color="auto" w:fill="DAE4EC" w:themeFill="background2"/>
            <w:noWrap/>
            <w:vAlign w:val="center"/>
          </w:tcPr>
          <w:p w14:paraId="23C3CBF5" w14:textId="77777777" w:rsidR="00944FF3" w:rsidRDefault="00944FF3" w:rsidP="00351CC2">
            <w:pPr>
              <w:spacing w:after="0" w:line="240" w:lineRule="auto"/>
              <w:jc w:val="center"/>
              <w:rPr>
                <w:rFonts w:ascii="Calibri" w:hAnsi="Calibri" w:cs="Calibri"/>
                <w:color w:val="000000"/>
              </w:rPr>
            </w:pPr>
            <w:r>
              <w:rPr>
                <w:rFonts w:ascii="Calibri" w:hAnsi="Calibri" w:cs="Calibri"/>
                <w:color w:val="000000"/>
              </w:rPr>
              <w:t>1.8%</w:t>
            </w:r>
          </w:p>
        </w:tc>
        <w:tc>
          <w:tcPr>
            <w:tcW w:w="1710" w:type="dxa"/>
            <w:shd w:val="clear" w:color="auto" w:fill="DAE4EC" w:themeFill="background2"/>
            <w:noWrap/>
            <w:vAlign w:val="center"/>
          </w:tcPr>
          <w:p w14:paraId="297438B1" w14:textId="77777777" w:rsidR="00944FF3" w:rsidRDefault="00944FF3" w:rsidP="00351CC2">
            <w:pPr>
              <w:spacing w:after="0" w:line="240" w:lineRule="auto"/>
              <w:jc w:val="center"/>
              <w:rPr>
                <w:rFonts w:ascii="Calibri" w:hAnsi="Calibri" w:cs="Calibri"/>
                <w:color w:val="000000"/>
              </w:rPr>
            </w:pPr>
            <w:r>
              <w:rPr>
                <w:rFonts w:ascii="Calibri" w:hAnsi="Calibri" w:cs="Calibri"/>
                <w:color w:val="000000"/>
              </w:rPr>
              <w:t>1.6%</w:t>
            </w:r>
          </w:p>
        </w:tc>
      </w:tr>
      <w:tr w:rsidR="00944FF3" w:rsidRPr="00AB09CE" w14:paraId="0E838978" w14:textId="77777777" w:rsidTr="003C76B8">
        <w:trPr>
          <w:trHeight w:val="290"/>
        </w:trPr>
        <w:tc>
          <w:tcPr>
            <w:tcW w:w="1960" w:type="dxa"/>
            <w:shd w:val="clear" w:color="auto" w:fill="DAE4EC" w:themeFill="background2"/>
            <w:noWrap/>
            <w:vAlign w:val="center"/>
            <w:hideMark/>
          </w:tcPr>
          <w:p w14:paraId="7043E540" w14:textId="77777777" w:rsidR="00944FF3" w:rsidRPr="00AB09CE" w:rsidRDefault="00944FF3" w:rsidP="00351CC2">
            <w:pPr>
              <w:spacing w:after="0" w:line="240" w:lineRule="auto"/>
              <w:rPr>
                <w:rFonts w:asciiTheme="minorBidi" w:eastAsia="Times New Roman" w:hAnsiTheme="minorBidi" w:cstheme="minorBidi"/>
                <w:b/>
                <w:bCs/>
                <w:color w:val="0B1F51"/>
                <w:sz w:val="20"/>
                <w:szCs w:val="20"/>
                <w:lang w:val="en-US" w:eastAsia="en-US"/>
              </w:rPr>
            </w:pPr>
            <w:r w:rsidRPr="00AB09CE">
              <w:rPr>
                <w:rFonts w:asciiTheme="minorBidi" w:eastAsia="Times New Roman" w:hAnsiTheme="minorBidi" w:cstheme="minorBidi"/>
                <w:b/>
                <w:bCs/>
                <w:color w:val="0B1F51"/>
                <w:sz w:val="20"/>
                <w:szCs w:val="20"/>
                <w:lang w:val="en-US" w:eastAsia="en-US"/>
              </w:rPr>
              <w:t>5 to 14 yrs.</w:t>
            </w:r>
          </w:p>
        </w:tc>
        <w:tc>
          <w:tcPr>
            <w:tcW w:w="1005" w:type="dxa"/>
            <w:shd w:val="clear" w:color="auto" w:fill="DAE4EC" w:themeFill="background2"/>
            <w:noWrap/>
            <w:vAlign w:val="center"/>
          </w:tcPr>
          <w:p w14:paraId="77BEBC29" w14:textId="77777777" w:rsidR="00944FF3" w:rsidRDefault="00944FF3" w:rsidP="00351CC2">
            <w:pPr>
              <w:spacing w:after="0" w:line="240" w:lineRule="auto"/>
              <w:jc w:val="center"/>
              <w:rPr>
                <w:rFonts w:ascii="Calibri" w:hAnsi="Calibri" w:cs="Calibri"/>
                <w:color w:val="000000"/>
              </w:rPr>
            </w:pPr>
            <w:r>
              <w:rPr>
                <w:rFonts w:ascii="Calibri" w:hAnsi="Calibri" w:cs="Calibri"/>
                <w:color w:val="000000"/>
              </w:rPr>
              <w:t>0.7%</w:t>
            </w:r>
          </w:p>
        </w:tc>
        <w:tc>
          <w:tcPr>
            <w:tcW w:w="810" w:type="dxa"/>
            <w:shd w:val="clear" w:color="auto" w:fill="DAE4EC" w:themeFill="background2"/>
            <w:noWrap/>
            <w:vAlign w:val="center"/>
          </w:tcPr>
          <w:p w14:paraId="6B457118" w14:textId="77777777" w:rsidR="00944FF3" w:rsidRDefault="00944FF3" w:rsidP="00351CC2">
            <w:pPr>
              <w:spacing w:after="0" w:line="240" w:lineRule="auto"/>
              <w:jc w:val="center"/>
              <w:rPr>
                <w:rFonts w:ascii="Calibri" w:hAnsi="Calibri" w:cs="Calibri"/>
                <w:color w:val="000000"/>
              </w:rPr>
            </w:pPr>
            <w:r>
              <w:rPr>
                <w:rFonts w:ascii="Calibri" w:hAnsi="Calibri" w:cs="Calibri"/>
                <w:color w:val="000000"/>
              </w:rPr>
              <w:t>1.2%</w:t>
            </w:r>
          </w:p>
        </w:tc>
        <w:tc>
          <w:tcPr>
            <w:tcW w:w="900" w:type="dxa"/>
            <w:shd w:val="clear" w:color="auto" w:fill="DAE4EC" w:themeFill="background2"/>
            <w:noWrap/>
            <w:vAlign w:val="center"/>
          </w:tcPr>
          <w:p w14:paraId="62109DD4" w14:textId="77777777" w:rsidR="00944FF3" w:rsidRDefault="00944FF3" w:rsidP="00351CC2">
            <w:pPr>
              <w:spacing w:after="0" w:line="240" w:lineRule="auto"/>
              <w:jc w:val="center"/>
              <w:rPr>
                <w:rFonts w:ascii="Calibri" w:hAnsi="Calibri" w:cs="Calibri"/>
                <w:color w:val="000000"/>
              </w:rPr>
            </w:pPr>
            <w:r>
              <w:rPr>
                <w:rFonts w:ascii="Calibri" w:hAnsi="Calibri" w:cs="Calibri"/>
                <w:color w:val="000000"/>
              </w:rPr>
              <w:t>0.8%</w:t>
            </w:r>
          </w:p>
        </w:tc>
        <w:tc>
          <w:tcPr>
            <w:tcW w:w="990" w:type="dxa"/>
            <w:shd w:val="clear" w:color="auto" w:fill="DAE4EC" w:themeFill="background2"/>
            <w:noWrap/>
            <w:vAlign w:val="center"/>
          </w:tcPr>
          <w:p w14:paraId="3283AE73" w14:textId="77777777" w:rsidR="00944FF3" w:rsidRDefault="00944FF3" w:rsidP="00351CC2">
            <w:pPr>
              <w:spacing w:after="0" w:line="240" w:lineRule="auto"/>
              <w:jc w:val="center"/>
              <w:rPr>
                <w:rFonts w:ascii="Calibri" w:hAnsi="Calibri" w:cs="Calibri"/>
                <w:color w:val="000000"/>
              </w:rPr>
            </w:pPr>
            <w:r>
              <w:rPr>
                <w:rFonts w:ascii="Calibri" w:hAnsi="Calibri" w:cs="Calibri"/>
                <w:color w:val="000000"/>
              </w:rPr>
              <w:t>0.3%</w:t>
            </w:r>
          </w:p>
        </w:tc>
        <w:tc>
          <w:tcPr>
            <w:tcW w:w="810" w:type="dxa"/>
            <w:shd w:val="clear" w:color="auto" w:fill="DAE4EC" w:themeFill="background2"/>
            <w:noWrap/>
            <w:vAlign w:val="center"/>
          </w:tcPr>
          <w:p w14:paraId="00C842DB" w14:textId="77777777" w:rsidR="00944FF3" w:rsidRDefault="00944FF3" w:rsidP="00351CC2">
            <w:pPr>
              <w:spacing w:after="0" w:line="240" w:lineRule="auto"/>
              <w:jc w:val="center"/>
              <w:rPr>
                <w:rFonts w:ascii="Calibri" w:hAnsi="Calibri" w:cs="Calibri"/>
                <w:color w:val="000000"/>
              </w:rPr>
            </w:pPr>
            <w:r>
              <w:rPr>
                <w:rFonts w:ascii="Calibri" w:hAnsi="Calibri" w:cs="Calibri"/>
                <w:color w:val="000000"/>
              </w:rPr>
              <w:t>0.9%</w:t>
            </w:r>
          </w:p>
        </w:tc>
        <w:tc>
          <w:tcPr>
            <w:tcW w:w="990" w:type="dxa"/>
            <w:shd w:val="clear" w:color="auto" w:fill="DAE4EC" w:themeFill="background2"/>
            <w:noWrap/>
            <w:vAlign w:val="center"/>
          </w:tcPr>
          <w:p w14:paraId="1DB96D34" w14:textId="77777777" w:rsidR="00944FF3" w:rsidRDefault="00944FF3" w:rsidP="00351CC2">
            <w:pPr>
              <w:spacing w:after="0" w:line="240" w:lineRule="auto"/>
              <w:jc w:val="center"/>
              <w:rPr>
                <w:rFonts w:ascii="Calibri" w:hAnsi="Calibri" w:cs="Calibri"/>
                <w:color w:val="000000"/>
              </w:rPr>
            </w:pPr>
            <w:r>
              <w:rPr>
                <w:rFonts w:ascii="Calibri" w:hAnsi="Calibri" w:cs="Calibri"/>
                <w:color w:val="000000"/>
              </w:rPr>
              <w:t>0.5%</w:t>
            </w:r>
          </w:p>
        </w:tc>
        <w:tc>
          <w:tcPr>
            <w:tcW w:w="1710" w:type="dxa"/>
            <w:shd w:val="clear" w:color="auto" w:fill="DAE4EC" w:themeFill="background2"/>
            <w:noWrap/>
            <w:vAlign w:val="center"/>
          </w:tcPr>
          <w:p w14:paraId="6D9F2CB8" w14:textId="77777777" w:rsidR="00944FF3" w:rsidRDefault="00944FF3" w:rsidP="00351CC2">
            <w:pPr>
              <w:spacing w:after="0" w:line="240" w:lineRule="auto"/>
              <w:jc w:val="center"/>
              <w:rPr>
                <w:rFonts w:ascii="Calibri" w:hAnsi="Calibri" w:cs="Calibri"/>
                <w:color w:val="000000"/>
              </w:rPr>
            </w:pPr>
            <w:r>
              <w:rPr>
                <w:rFonts w:ascii="Calibri" w:hAnsi="Calibri" w:cs="Calibri"/>
                <w:color w:val="000000"/>
              </w:rPr>
              <w:t>0.7%</w:t>
            </w:r>
          </w:p>
        </w:tc>
      </w:tr>
      <w:tr w:rsidR="00944FF3" w:rsidRPr="00AB09CE" w14:paraId="70E584AF" w14:textId="77777777" w:rsidTr="003C76B8">
        <w:trPr>
          <w:trHeight w:val="290"/>
        </w:trPr>
        <w:tc>
          <w:tcPr>
            <w:tcW w:w="1960" w:type="dxa"/>
            <w:shd w:val="clear" w:color="auto" w:fill="DAE4EC" w:themeFill="background2"/>
            <w:vAlign w:val="center"/>
            <w:hideMark/>
          </w:tcPr>
          <w:p w14:paraId="673D6AC7" w14:textId="77777777" w:rsidR="00944FF3" w:rsidRPr="00AB09CE" w:rsidRDefault="00944FF3" w:rsidP="00351CC2">
            <w:pPr>
              <w:spacing w:after="0" w:line="240" w:lineRule="auto"/>
              <w:rPr>
                <w:rFonts w:asciiTheme="minorBidi" w:eastAsia="Times New Roman" w:hAnsiTheme="minorBidi" w:cstheme="minorBidi"/>
                <w:b/>
                <w:bCs/>
                <w:color w:val="0B1F51"/>
                <w:sz w:val="20"/>
                <w:szCs w:val="20"/>
                <w:lang w:val="en-US" w:eastAsia="en-US"/>
              </w:rPr>
            </w:pPr>
            <w:r w:rsidRPr="00AB09CE">
              <w:rPr>
                <w:rFonts w:asciiTheme="minorBidi" w:eastAsia="Times New Roman" w:hAnsiTheme="minorBidi" w:cstheme="minorBidi"/>
                <w:b/>
                <w:bCs/>
                <w:color w:val="0B1F51"/>
                <w:sz w:val="20"/>
                <w:szCs w:val="20"/>
                <w:lang w:val="en-US" w:eastAsia="en-US"/>
              </w:rPr>
              <w:t>15 to 49 yrs.</w:t>
            </w:r>
          </w:p>
        </w:tc>
        <w:tc>
          <w:tcPr>
            <w:tcW w:w="1005" w:type="dxa"/>
            <w:shd w:val="clear" w:color="auto" w:fill="DAE4EC" w:themeFill="background2"/>
            <w:noWrap/>
            <w:vAlign w:val="center"/>
          </w:tcPr>
          <w:p w14:paraId="3A36383F" w14:textId="77777777" w:rsidR="00944FF3" w:rsidRDefault="00944FF3" w:rsidP="00351CC2">
            <w:pPr>
              <w:spacing w:after="0" w:line="240" w:lineRule="auto"/>
              <w:jc w:val="center"/>
              <w:rPr>
                <w:rFonts w:ascii="Calibri" w:hAnsi="Calibri" w:cs="Calibri"/>
                <w:color w:val="000000"/>
              </w:rPr>
            </w:pPr>
            <w:r>
              <w:rPr>
                <w:rFonts w:ascii="Calibri" w:hAnsi="Calibri" w:cs="Calibri"/>
                <w:color w:val="000000"/>
              </w:rPr>
              <w:t>2.5%</w:t>
            </w:r>
          </w:p>
        </w:tc>
        <w:tc>
          <w:tcPr>
            <w:tcW w:w="810" w:type="dxa"/>
            <w:shd w:val="clear" w:color="auto" w:fill="DAE4EC" w:themeFill="background2"/>
            <w:noWrap/>
            <w:vAlign w:val="center"/>
          </w:tcPr>
          <w:p w14:paraId="4D18AE90" w14:textId="77777777" w:rsidR="00944FF3" w:rsidRDefault="00944FF3" w:rsidP="00351CC2">
            <w:pPr>
              <w:spacing w:after="0" w:line="240" w:lineRule="auto"/>
              <w:jc w:val="center"/>
              <w:rPr>
                <w:rFonts w:ascii="Calibri" w:hAnsi="Calibri" w:cs="Calibri"/>
                <w:color w:val="000000"/>
              </w:rPr>
            </w:pPr>
            <w:r>
              <w:rPr>
                <w:rFonts w:ascii="Calibri" w:hAnsi="Calibri" w:cs="Calibri"/>
                <w:color w:val="000000"/>
              </w:rPr>
              <w:t>2.8%</w:t>
            </w:r>
          </w:p>
        </w:tc>
        <w:tc>
          <w:tcPr>
            <w:tcW w:w="900" w:type="dxa"/>
            <w:shd w:val="clear" w:color="auto" w:fill="DAE4EC" w:themeFill="background2"/>
            <w:noWrap/>
            <w:vAlign w:val="center"/>
          </w:tcPr>
          <w:p w14:paraId="46EDB6CF" w14:textId="77777777" w:rsidR="00944FF3" w:rsidRDefault="00944FF3" w:rsidP="00351CC2">
            <w:pPr>
              <w:spacing w:after="0" w:line="240" w:lineRule="auto"/>
              <w:jc w:val="center"/>
              <w:rPr>
                <w:rFonts w:ascii="Calibri" w:hAnsi="Calibri" w:cs="Calibri"/>
                <w:color w:val="000000"/>
              </w:rPr>
            </w:pPr>
            <w:r>
              <w:rPr>
                <w:rFonts w:ascii="Calibri" w:hAnsi="Calibri" w:cs="Calibri"/>
                <w:color w:val="000000"/>
              </w:rPr>
              <w:t>2.7%</w:t>
            </w:r>
          </w:p>
        </w:tc>
        <w:tc>
          <w:tcPr>
            <w:tcW w:w="990" w:type="dxa"/>
            <w:shd w:val="clear" w:color="auto" w:fill="DAE4EC" w:themeFill="background2"/>
            <w:noWrap/>
            <w:vAlign w:val="center"/>
          </w:tcPr>
          <w:p w14:paraId="288AFDA4" w14:textId="77777777" w:rsidR="00944FF3" w:rsidRDefault="00944FF3" w:rsidP="00351CC2">
            <w:pPr>
              <w:spacing w:after="0" w:line="240" w:lineRule="auto"/>
              <w:jc w:val="center"/>
              <w:rPr>
                <w:rFonts w:ascii="Calibri" w:hAnsi="Calibri" w:cs="Calibri"/>
                <w:color w:val="000000"/>
              </w:rPr>
            </w:pPr>
            <w:r>
              <w:rPr>
                <w:rFonts w:ascii="Calibri" w:hAnsi="Calibri" w:cs="Calibri"/>
                <w:color w:val="000000"/>
              </w:rPr>
              <w:t>0.5%</w:t>
            </w:r>
          </w:p>
        </w:tc>
        <w:tc>
          <w:tcPr>
            <w:tcW w:w="810" w:type="dxa"/>
            <w:shd w:val="clear" w:color="auto" w:fill="DAE4EC" w:themeFill="background2"/>
            <w:noWrap/>
            <w:vAlign w:val="center"/>
          </w:tcPr>
          <w:p w14:paraId="77313944" w14:textId="77777777" w:rsidR="00944FF3" w:rsidRDefault="00944FF3" w:rsidP="00351CC2">
            <w:pPr>
              <w:spacing w:after="0" w:line="240" w:lineRule="auto"/>
              <w:jc w:val="center"/>
              <w:rPr>
                <w:rFonts w:ascii="Calibri" w:hAnsi="Calibri" w:cs="Calibri"/>
                <w:color w:val="000000"/>
              </w:rPr>
            </w:pPr>
            <w:r>
              <w:rPr>
                <w:rFonts w:ascii="Calibri" w:hAnsi="Calibri" w:cs="Calibri"/>
                <w:color w:val="000000"/>
              </w:rPr>
              <w:t>1.1%</w:t>
            </w:r>
          </w:p>
        </w:tc>
        <w:tc>
          <w:tcPr>
            <w:tcW w:w="990" w:type="dxa"/>
            <w:shd w:val="clear" w:color="auto" w:fill="DAE4EC" w:themeFill="background2"/>
            <w:noWrap/>
            <w:vAlign w:val="center"/>
          </w:tcPr>
          <w:p w14:paraId="366EEADA" w14:textId="77777777" w:rsidR="00944FF3" w:rsidRDefault="00944FF3" w:rsidP="00351CC2">
            <w:pPr>
              <w:spacing w:after="0" w:line="240" w:lineRule="auto"/>
              <w:jc w:val="center"/>
              <w:rPr>
                <w:rFonts w:ascii="Calibri" w:hAnsi="Calibri" w:cs="Calibri"/>
                <w:color w:val="000000"/>
              </w:rPr>
            </w:pPr>
            <w:r>
              <w:rPr>
                <w:rFonts w:ascii="Calibri" w:hAnsi="Calibri" w:cs="Calibri"/>
                <w:color w:val="000000"/>
              </w:rPr>
              <w:t>0.8%</w:t>
            </w:r>
          </w:p>
        </w:tc>
        <w:tc>
          <w:tcPr>
            <w:tcW w:w="1710" w:type="dxa"/>
            <w:shd w:val="clear" w:color="auto" w:fill="DAE4EC" w:themeFill="background2"/>
            <w:noWrap/>
            <w:vAlign w:val="center"/>
          </w:tcPr>
          <w:p w14:paraId="58347E7E" w14:textId="77777777" w:rsidR="00944FF3" w:rsidRDefault="00944FF3" w:rsidP="00351CC2">
            <w:pPr>
              <w:spacing w:after="0" w:line="240" w:lineRule="auto"/>
              <w:jc w:val="center"/>
              <w:rPr>
                <w:rFonts w:ascii="Calibri" w:hAnsi="Calibri" w:cs="Calibri"/>
                <w:color w:val="000000"/>
              </w:rPr>
            </w:pPr>
            <w:r>
              <w:rPr>
                <w:rFonts w:ascii="Calibri" w:hAnsi="Calibri" w:cs="Calibri"/>
                <w:color w:val="000000"/>
              </w:rPr>
              <w:t>1.7%</w:t>
            </w:r>
          </w:p>
        </w:tc>
      </w:tr>
      <w:tr w:rsidR="00944FF3" w:rsidRPr="00AB09CE" w14:paraId="472CACA4" w14:textId="77777777" w:rsidTr="003C76B8">
        <w:trPr>
          <w:trHeight w:val="290"/>
        </w:trPr>
        <w:tc>
          <w:tcPr>
            <w:tcW w:w="1960" w:type="dxa"/>
            <w:shd w:val="clear" w:color="auto" w:fill="DAE4EC" w:themeFill="background2"/>
            <w:noWrap/>
            <w:vAlign w:val="center"/>
            <w:hideMark/>
          </w:tcPr>
          <w:p w14:paraId="30201068" w14:textId="77777777" w:rsidR="00944FF3" w:rsidRPr="00AB09CE" w:rsidRDefault="00944FF3" w:rsidP="00351CC2">
            <w:pPr>
              <w:spacing w:after="0" w:line="240" w:lineRule="auto"/>
              <w:rPr>
                <w:rFonts w:asciiTheme="minorBidi" w:eastAsia="Times New Roman" w:hAnsiTheme="minorBidi" w:cstheme="minorBidi"/>
                <w:b/>
                <w:bCs/>
                <w:color w:val="0B1F51"/>
                <w:sz w:val="20"/>
                <w:szCs w:val="20"/>
                <w:lang w:val="en-US" w:eastAsia="en-US"/>
              </w:rPr>
            </w:pPr>
            <w:r w:rsidRPr="00AB09CE">
              <w:rPr>
                <w:rFonts w:asciiTheme="minorBidi" w:eastAsia="Times New Roman" w:hAnsiTheme="minorBidi" w:cstheme="minorBidi"/>
                <w:b/>
                <w:bCs/>
                <w:color w:val="0B1F51"/>
                <w:sz w:val="20"/>
                <w:szCs w:val="20"/>
                <w:lang w:val="en-US" w:eastAsia="en-US"/>
              </w:rPr>
              <w:t>50 to 69 yrs.</w:t>
            </w:r>
          </w:p>
        </w:tc>
        <w:tc>
          <w:tcPr>
            <w:tcW w:w="1005" w:type="dxa"/>
            <w:shd w:val="clear" w:color="auto" w:fill="DAE4EC" w:themeFill="background2"/>
            <w:noWrap/>
            <w:vAlign w:val="center"/>
          </w:tcPr>
          <w:p w14:paraId="59222FBC" w14:textId="77777777" w:rsidR="00944FF3" w:rsidRDefault="00944FF3" w:rsidP="00351CC2">
            <w:pPr>
              <w:spacing w:after="0" w:line="240" w:lineRule="auto"/>
              <w:jc w:val="center"/>
              <w:rPr>
                <w:rFonts w:ascii="Calibri" w:hAnsi="Calibri" w:cs="Calibri"/>
                <w:color w:val="000000"/>
              </w:rPr>
            </w:pPr>
            <w:r>
              <w:rPr>
                <w:rFonts w:ascii="Calibri" w:hAnsi="Calibri" w:cs="Calibri"/>
                <w:color w:val="000000"/>
              </w:rPr>
              <w:t>1.2%</w:t>
            </w:r>
          </w:p>
        </w:tc>
        <w:tc>
          <w:tcPr>
            <w:tcW w:w="810" w:type="dxa"/>
            <w:shd w:val="clear" w:color="auto" w:fill="DAE4EC" w:themeFill="background2"/>
            <w:noWrap/>
            <w:vAlign w:val="center"/>
          </w:tcPr>
          <w:p w14:paraId="0F8E23DB" w14:textId="77777777" w:rsidR="00944FF3" w:rsidRDefault="00944FF3" w:rsidP="00351CC2">
            <w:pPr>
              <w:spacing w:after="0" w:line="240" w:lineRule="auto"/>
              <w:jc w:val="center"/>
              <w:rPr>
                <w:rFonts w:ascii="Calibri" w:hAnsi="Calibri" w:cs="Calibri"/>
                <w:color w:val="000000"/>
              </w:rPr>
            </w:pPr>
            <w:r>
              <w:rPr>
                <w:rFonts w:ascii="Calibri" w:hAnsi="Calibri" w:cs="Calibri"/>
                <w:color w:val="000000"/>
              </w:rPr>
              <w:t>3.7%</w:t>
            </w:r>
          </w:p>
        </w:tc>
        <w:tc>
          <w:tcPr>
            <w:tcW w:w="900" w:type="dxa"/>
            <w:shd w:val="clear" w:color="auto" w:fill="DAE4EC" w:themeFill="background2"/>
            <w:noWrap/>
            <w:vAlign w:val="center"/>
          </w:tcPr>
          <w:p w14:paraId="5B0232E4" w14:textId="77777777" w:rsidR="00944FF3" w:rsidRDefault="00944FF3" w:rsidP="00351CC2">
            <w:pPr>
              <w:spacing w:after="0" w:line="240" w:lineRule="auto"/>
              <w:jc w:val="center"/>
              <w:rPr>
                <w:rFonts w:ascii="Calibri" w:hAnsi="Calibri" w:cs="Calibri"/>
                <w:color w:val="000000"/>
              </w:rPr>
            </w:pPr>
            <w:r>
              <w:rPr>
                <w:rFonts w:ascii="Calibri" w:hAnsi="Calibri" w:cs="Calibri"/>
                <w:color w:val="000000"/>
              </w:rPr>
              <w:t>2.4%</w:t>
            </w:r>
          </w:p>
        </w:tc>
        <w:tc>
          <w:tcPr>
            <w:tcW w:w="990" w:type="dxa"/>
            <w:shd w:val="clear" w:color="auto" w:fill="DAE4EC" w:themeFill="background2"/>
            <w:noWrap/>
            <w:vAlign w:val="center"/>
          </w:tcPr>
          <w:p w14:paraId="7E6746B7" w14:textId="77777777" w:rsidR="00944FF3" w:rsidRDefault="00944FF3" w:rsidP="00351CC2">
            <w:pPr>
              <w:spacing w:after="0" w:line="240" w:lineRule="auto"/>
              <w:jc w:val="center"/>
              <w:rPr>
                <w:rFonts w:ascii="Calibri" w:hAnsi="Calibri" w:cs="Calibri"/>
                <w:color w:val="000000"/>
              </w:rPr>
            </w:pPr>
            <w:r>
              <w:rPr>
                <w:rFonts w:ascii="Calibri" w:hAnsi="Calibri" w:cs="Calibri"/>
                <w:color w:val="000000"/>
              </w:rPr>
              <w:t>0.8%</w:t>
            </w:r>
          </w:p>
        </w:tc>
        <w:tc>
          <w:tcPr>
            <w:tcW w:w="810" w:type="dxa"/>
            <w:shd w:val="clear" w:color="auto" w:fill="DAE4EC" w:themeFill="background2"/>
            <w:noWrap/>
            <w:vAlign w:val="center"/>
          </w:tcPr>
          <w:p w14:paraId="5B10DE47" w14:textId="77777777" w:rsidR="00944FF3" w:rsidRDefault="00944FF3" w:rsidP="00351CC2">
            <w:pPr>
              <w:spacing w:after="0" w:line="240" w:lineRule="auto"/>
              <w:jc w:val="center"/>
              <w:rPr>
                <w:rFonts w:ascii="Calibri" w:hAnsi="Calibri" w:cs="Calibri"/>
                <w:color w:val="000000"/>
              </w:rPr>
            </w:pPr>
            <w:r>
              <w:rPr>
                <w:rFonts w:ascii="Calibri" w:hAnsi="Calibri" w:cs="Calibri"/>
                <w:color w:val="000000"/>
              </w:rPr>
              <w:t>1.7%</w:t>
            </w:r>
          </w:p>
        </w:tc>
        <w:tc>
          <w:tcPr>
            <w:tcW w:w="990" w:type="dxa"/>
            <w:shd w:val="clear" w:color="auto" w:fill="DAE4EC" w:themeFill="background2"/>
            <w:noWrap/>
            <w:vAlign w:val="center"/>
          </w:tcPr>
          <w:p w14:paraId="312C371D" w14:textId="77777777" w:rsidR="00944FF3" w:rsidRDefault="00944FF3" w:rsidP="00351CC2">
            <w:pPr>
              <w:spacing w:after="0" w:line="240" w:lineRule="auto"/>
              <w:jc w:val="center"/>
              <w:rPr>
                <w:rFonts w:ascii="Calibri" w:hAnsi="Calibri" w:cs="Calibri"/>
                <w:color w:val="000000"/>
              </w:rPr>
            </w:pPr>
            <w:r>
              <w:rPr>
                <w:rFonts w:ascii="Calibri" w:hAnsi="Calibri" w:cs="Calibri"/>
                <w:color w:val="000000"/>
              </w:rPr>
              <w:t>1.2%</w:t>
            </w:r>
          </w:p>
        </w:tc>
        <w:tc>
          <w:tcPr>
            <w:tcW w:w="1710" w:type="dxa"/>
            <w:shd w:val="clear" w:color="auto" w:fill="DAE4EC" w:themeFill="background2"/>
            <w:noWrap/>
            <w:vAlign w:val="center"/>
          </w:tcPr>
          <w:p w14:paraId="084B2DE7" w14:textId="77777777" w:rsidR="00944FF3" w:rsidRDefault="00944FF3" w:rsidP="00351CC2">
            <w:pPr>
              <w:spacing w:after="0" w:line="240" w:lineRule="auto"/>
              <w:jc w:val="center"/>
              <w:rPr>
                <w:rFonts w:ascii="Calibri" w:hAnsi="Calibri" w:cs="Calibri"/>
                <w:color w:val="000000"/>
              </w:rPr>
            </w:pPr>
            <w:r>
              <w:rPr>
                <w:rFonts w:ascii="Calibri" w:hAnsi="Calibri" w:cs="Calibri"/>
                <w:color w:val="000000"/>
              </w:rPr>
              <w:t>1.8%</w:t>
            </w:r>
          </w:p>
        </w:tc>
      </w:tr>
      <w:tr w:rsidR="00944FF3" w:rsidRPr="00AB09CE" w14:paraId="44AA4278" w14:textId="77777777" w:rsidTr="003C76B8">
        <w:trPr>
          <w:trHeight w:val="290"/>
        </w:trPr>
        <w:tc>
          <w:tcPr>
            <w:tcW w:w="1960" w:type="dxa"/>
            <w:shd w:val="clear" w:color="auto" w:fill="DAE4EC" w:themeFill="background2"/>
            <w:noWrap/>
            <w:vAlign w:val="center"/>
            <w:hideMark/>
          </w:tcPr>
          <w:p w14:paraId="17E7F27C" w14:textId="77777777" w:rsidR="00944FF3" w:rsidRPr="00AB09CE" w:rsidRDefault="00944FF3" w:rsidP="00351CC2">
            <w:pPr>
              <w:spacing w:after="0" w:line="240" w:lineRule="auto"/>
              <w:rPr>
                <w:rFonts w:asciiTheme="minorBidi" w:eastAsia="Times New Roman" w:hAnsiTheme="minorBidi" w:cstheme="minorBidi"/>
                <w:b/>
                <w:bCs/>
                <w:color w:val="0B1F51"/>
                <w:sz w:val="20"/>
                <w:szCs w:val="20"/>
                <w:lang w:val="en-US" w:eastAsia="en-US"/>
              </w:rPr>
            </w:pPr>
            <w:r w:rsidRPr="00AB09CE">
              <w:rPr>
                <w:rFonts w:asciiTheme="minorBidi" w:eastAsia="Times New Roman" w:hAnsiTheme="minorBidi" w:cstheme="minorBidi"/>
                <w:b/>
                <w:bCs/>
                <w:color w:val="0B1F51"/>
                <w:sz w:val="20"/>
                <w:szCs w:val="20"/>
                <w:lang w:val="en-US" w:eastAsia="en-US"/>
              </w:rPr>
              <w:t xml:space="preserve">70 yrs.&amp; above </w:t>
            </w:r>
          </w:p>
        </w:tc>
        <w:tc>
          <w:tcPr>
            <w:tcW w:w="1005" w:type="dxa"/>
            <w:shd w:val="clear" w:color="auto" w:fill="DAE4EC" w:themeFill="background2"/>
            <w:noWrap/>
            <w:vAlign w:val="center"/>
          </w:tcPr>
          <w:p w14:paraId="384E4FE5" w14:textId="77777777" w:rsidR="00944FF3" w:rsidRDefault="00944FF3" w:rsidP="00351CC2">
            <w:pPr>
              <w:spacing w:after="0" w:line="240" w:lineRule="auto"/>
              <w:jc w:val="center"/>
              <w:rPr>
                <w:rFonts w:ascii="Calibri" w:hAnsi="Calibri" w:cs="Calibri"/>
                <w:color w:val="000000"/>
              </w:rPr>
            </w:pPr>
            <w:r>
              <w:rPr>
                <w:rFonts w:ascii="Calibri" w:hAnsi="Calibri" w:cs="Calibri"/>
                <w:color w:val="000000"/>
              </w:rPr>
              <w:t>2.1%</w:t>
            </w:r>
          </w:p>
        </w:tc>
        <w:tc>
          <w:tcPr>
            <w:tcW w:w="810" w:type="dxa"/>
            <w:shd w:val="clear" w:color="auto" w:fill="DAE4EC" w:themeFill="background2"/>
            <w:noWrap/>
            <w:vAlign w:val="center"/>
          </w:tcPr>
          <w:p w14:paraId="2F5BDDA8" w14:textId="77777777" w:rsidR="00944FF3" w:rsidRDefault="00944FF3" w:rsidP="00351CC2">
            <w:pPr>
              <w:spacing w:after="0" w:line="240" w:lineRule="auto"/>
              <w:jc w:val="center"/>
              <w:rPr>
                <w:rFonts w:ascii="Calibri" w:hAnsi="Calibri" w:cs="Calibri"/>
                <w:color w:val="000000"/>
              </w:rPr>
            </w:pPr>
            <w:r>
              <w:rPr>
                <w:rFonts w:ascii="Calibri" w:hAnsi="Calibri" w:cs="Calibri"/>
                <w:color w:val="000000"/>
              </w:rPr>
              <w:t>2.7%</w:t>
            </w:r>
          </w:p>
        </w:tc>
        <w:tc>
          <w:tcPr>
            <w:tcW w:w="900" w:type="dxa"/>
            <w:shd w:val="clear" w:color="auto" w:fill="DAE4EC" w:themeFill="background2"/>
            <w:noWrap/>
            <w:vAlign w:val="center"/>
          </w:tcPr>
          <w:p w14:paraId="72534B39" w14:textId="77777777" w:rsidR="00944FF3" w:rsidRDefault="00944FF3" w:rsidP="00351CC2">
            <w:pPr>
              <w:spacing w:after="0" w:line="240" w:lineRule="auto"/>
              <w:jc w:val="center"/>
              <w:rPr>
                <w:rFonts w:ascii="Calibri" w:hAnsi="Calibri" w:cs="Calibri"/>
                <w:color w:val="000000"/>
              </w:rPr>
            </w:pPr>
            <w:r>
              <w:rPr>
                <w:rFonts w:ascii="Calibri" w:hAnsi="Calibri" w:cs="Calibri"/>
                <w:color w:val="000000"/>
              </w:rPr>
              <w:t>2.6</w:t>
            </w:r>
            <w:bookmarkStart w:id="50" w:name="_GoBack"/>
            <w:bookmarkEnd w:id="50"/>
            <w:r>
              <w:rPr>
                <w:rFonts w:ascii="Calibri" w:hAnsi="Calibri" w:cs="Calibri"/>
                <w:color w:val="000000"/>
              </w:rPr>
              <w:t>%</w:t>
            </w:r>
          </w:p>
        </w:tc>
        <w:tc>
          <w:tcPr>
            <w:tcW w:w="990" w:type="dxa"/>
            <w:shd w:val="clear" w:color="auto" w:fill="DAE4EC" w:themeFill="background2"/>
            <w:noWrap/>
            <w:vAlign w:val="center"/>
          </w:tcPr>
          <w:p w14:paraId="0079B7B5" w14:textId="77777777" w:rsidR="00944FF3" w:rsidRDefault="00944FF3" w:rsidP="00351CC2">
            <w:pPr>
              <w:spacing w:after="0" w:line="240" w:lineRule="auto"/>
              <w:jc w:val="center"/>
              <w:rPr>
                <w:rFonts w:ascii="Calibri" w:hAnsi="Calibri" w:cs="Calibri"/>
                <w:color w:val="000000"/>
              </w:rPr>
            </w:pPr>
            <w:r>
              <w:rPr>
                <w:rFonts w:ascii="Calibri" w:hAnsi="Calibri" w:cs="Calibri"/>
                <w:color w:val="000000"/>
              </w:rPr>
              <w:t>2.5%</w:t>
            </w:r>
          </w:p>
        </w:tc>
        <w:tc>
          <w:tcPr>
            <w:tcW w:w="810" w:type="dxa"/>
            <w:shd w:val="clear" w:color="auto" w:fill="DAE4EC" w:themeFill="background2"/>
            <w:noWrap/>
            <w:vAlign w:val="center"/>
          </w:tcPr>
          <w:p w14:paraId="588940BE" w14:textId="77777777" w:rsidR="00944FF3" w:rsidRDefault="00944FF3" w:rsidP="00351CC2">
            <w:pPr>
              <w:spacing w:after="0" w:line="240" w:lineRule="auto"/>
              <w:jc w:val="center"/>
              <w:rPr>
                <w:rFonts w:ascii="Calibri" w:hAnsi="Calibri" w:cs="Calibri"/>
                <w:color w:val="000000"/>
              </w:rPr>
            </w:pPr>
            <w:r>
              <w:rPr>
                <w:rFonts w:ascii="Calibri" w:hAnsi="Calibri" w:cs="Calibri"/>
                <w:color w:val="000000"/>
              </w:rPr>
              <w:t>2.3%</w:t>
            </w:r>
          </w:p>
        </w:tc>
        <w:tc>
          <w:tcPr>
            <w:tcW w:w="990" w:type="dxa"/>
            <w:shd w:val="clear" w:color="auto" w:fill="DAE4EC" w:themeFill="background2"/>
            <w:noWrap/>
            <w:vAlign w:val="center"/>
          </w:tcPr>
          <w:p w14:paraId="24859663" w14:textId="77777777" w:rsidR="00944FF3" w:rsidRDefault="00944FF3" w:rsidP="00351CC2">
            <w:pPr>
              <w:spacing w:after="0" w:line="240" w:lineRule="auto"/>
              <w:jc w:val="center"/>
              <w:rPr>
                <w:rFonts w:ascii="Calibri" w:hAnsi="Calibri" w:cs="Calibri"/>
                <w:color w:val="000000"/>
              </w:rPr>
            </w:pPr>
            <w:r>
              <w:rPr>
                <w:rFonts w:ascii="Calibri" w:hAnsi="Calibri" w:cs="Calibri"/>
                <w:color w:val="000000"/>
              </w:rPr>
              <w:t>2.3%</w:t>
            </w:r>
          </w:p>
        </w:tc>
        <w:tc>
          <w:tcPr>
            <w:tcW w:w="1710" w:type="dxa"/>
            <w:shd w:val="clear" w:color="auto" w:fill="DAE4EC" w:themeFill="background2"/>
            <w:noWrap/>
            <w:vAlign w:val="center"/>
          </w:tcPr>
          <w:p w14:paraId="33E71F58" w14:textId="77777777" w:rsidR="00944FF3" w:rsidRDefault="00944FF3" w:rsidP="00351CC2">
            <w:pPr>
              <w:spacing w:after="0" w:line="240" w:lineRule="auto"/>
              <w:jc w:val="center"/>
              <w:rPr>
                <w:rFonts w:ascii="Calibri" w:hAnsi="Calibri" w:cs="Calibri"/>
                <w:color w:val="000000"/>
              </w:rPr>
            </w:pPr>
            <w:r>
              <w:rPr>
                <w:rFonts w:ascii="Calibri" w:hAnsi="Calibri" w:cs="Calibri"/>
                <w:color w:val="000000"/>
              </w:rPr>
              <w:t>2.5%</w:t>
            </w:r>
          </w:p>
        </w:tc>
      </w:tr>
      <w:tr w:rsidR="00944FF3" w:rsidRPr="00AB09CE" w14:paraId="042A5B84" w14:textId="77777777" w:rsidTr="003C76B8">
        <w:trPr>
          <w:trHeight w:val="290"/>
        </w:trPr>
        <w:tc>
          <w:tcPr>
            <w:tcW w:w="1960" w:type="dxa"/>
            <w:shd w:val="clear" w:color="auto" w:fill="DAE4EC" w:themeFill="background2"/>
            <w:vAlign w:val="center"/>
            <w:hideMark/>
          </w:tcPr>
          <w:p w14:paraId="52C4C4B8" w14:textId="77777777" w:rsidR="00944FF3" w:rsidRPr="00AB09CE" w:rsidRDefault="00944FF3" w:rsidP="00351CC2">
            <w:pPr>
              <w:spacing w:after="0" w:line="240" w:lineRule="auto"/>
              <w:rPr>
                <w:rFonts w:asciiTheme="minorBidi" w:eastAsia="Times New Roman" w:hAnsiTheme="minorBidi" w:cstheme="minorBidi"/>
                <w:b/>
                <w:bCs/>
                <w:i/>
                <w:iCs/>
                <w:color w:val="0B1F51"/>
                <w:sz w:val="20"/>
                <w:szCs w:val="20"/>
                <w:lang w:val="en-US" w:eastAsia="en-US"/>
              </w:rPr>
            </w:pPr>
            <w:r w:rsidRPr="00AB09CE">
              <w:rPr>
                <w:rFonts w:asciiTheme="minorBidi" w:eastAsia="Times New Roman" w:hAnsiTheme="minorBidi" w:cstheme="minorBidi"/>
                <w:b/>
                <w:bCs/>
                <w:i/>
                <w:iCs/>
                <w:color w:val="0B1F51"/>
                <w:sz w:val="20"/>
                <w:szCs w:val="20"/>
                <w:lang w:val="en-US" w:eastAsia="en-US"/>
              </w:rPr>
              <w:t>Total</w:t>
            </w:r>
          </w:p>
        </w:tc>
        <w:tc>
          <w:tcPr>
            <w:tcW w:w="1005" w:type="dxa"/>
            <w:shd w:val="clear" w:color="auto" w:fill="DAE4EC" w:themeFill="background2"/>
            <w:noWrap/>
            <w:vAlign w:val="center"/>
          </w:tcPr>
          <w:p w14:paraId="61BB997D" w14:textId="77777777" w:rsidR="00944FF3" w:rsidRPr="00944FF3" w:rsidRDefault="00944FF3" w:rsidP="00351CC2">
            <w:pPr>
              <w:spacing w:after="0" w:line="240" w:lineRule="auto"/>
              <w:jc w:val="center"/>
              <w:rPr>
                <w:rFonts w:ascii="Calibri" w:hAnsi="Calibri" w:cs="Calibri"/>
                <w:b/>
                <w:bCs/>
                <w:i/>
                <w:iCs/>
                <w:color w:val="000000"/>
              </w:rPr>
            </w:pPr>
            <w:r w:rsidRPr="00944FF3">
              <w:rPr>
                <w:rFonts w:ascii="Calibri" w:hAnsi="Calibri" w:cs="Calibri"/>
                <w:b/>
                <w:bCs/>
                <w:i/>
                <w:iCs/>
                <w:color w:val="000000"/>
              </w:rPr>
              <w:t>1.4%</w:t>
            </w:r>
          </w:p>
        </w:tc>
        <w:tc>
          <w:tcPr>
            <w:tcW w:w="810" w:type="dxa"/>
            <w:shd w:val="clear" w:color="auto" w:fill="DAE4EC" w:themeFill="background2"/>
            <w:noWrap/>
            <w:vAlign w:val="center"/>
          </w:tcPr>
          <w:p w14:paraId="74FC37A9" w14:textId="77777777" w:rsidR="00944FF3" w:rsidRPr="00944FF3" w:rsidRDefault="00944FF3" w:rsidP="00351CC2">
            <w:pPr>
              <w:spacing w:after="0" w:line="240" w:lineRule="auto"/>
              <w:jc w:val="center"/>
              <w:rPr>
                <w:rFonts w:ascii="Calibri" w:hAnsi="Calibri" w:cs="Calibri"/>
                <w:b/>
                <w:bCs/>
                <w:i/>
                <w:iCs/>
                <w:color w:val="000000"/>
              </w:rPr>
            </w:pPr>
            <w:r w:rsidRPr="00944FF3">
              <w:rPr>
                <w:rFonts w:ascii="Calibri" w:hAnsi="Calibri" w:cs="Calibri"/>
                <w:b/>
                <w:bCs/>
                <w:i/>
                <w:iCs/>
                <w:color w:val="000000"/>
              </w:rPr>
              <w:t>2.6%</w:t>
            </w:r>
          </w:p>
        </w:tc>
        <w:tc>
          <w:tcPr>
            <w:tcW w:w="900" w:type="dxa"/>
            <w:shd w:val="clear" w:color="auto" w:fill="DAE4EC" w:themeFill="background2"/>
            <w:noWrap/>
            <w:vAlign w:val="center"/>
          </w:tcPr>
          <w:p w14:paraId="0AF033C7" w14:textId="77777777" w:rsidR="00944FF3" w:rsidRPr="00944FF3" w:rsidRDefault="00944FF3" w:rsidP="00351CC2">
            <w:pPr>
              <w:spacing w:after="0" w:line="240" w:lineRule="auto"/>
              <w:jc w:val="center"/>
              <w:rPr>
                <w:rFonts w:ascii="Calibri" w:hAnsi="Calibri" w:cs="Calibri"/>
                <w:b/>
                <w:bCs/>
                <w:i/>
                <w:iCs/>
                <w:color w:val="000000"/>
              </w:rPr>
            </w:pPr>
            <w:r w:rsidRPr="00944FF3">
              <w:rPr>
                <w:rFonts w:ascii="Calibri" w:hAnsi="Calibri" w:cs="Calibri"/>
                <w:b/>
                <w:bCs/>
                <w:i/>
                <w:iCs/>
                <w:color w:val="000000"/>
              </w:rPr>
              <w:t>2.0%</w:t>
            </w:r>
          </w:p>
        </w:tc>
        <w:tc>
          <w:tcPr>
            <w:tcW w:w="990" w:type="dxa"/>
            <w:shd w:val="clear" w:color="auto" w:fill="DAE4EC" w:themeFill="background2"/>
            <w:noWrap/>
            <w:vAlign w:val="center"/>
          </w:tcPr>
          <w:p w14:paraId="3BFF03A1" w14:textId="77777777" w:rsidR="00944FF3" w:rsidRPr="00944FF3" w:rsidRDefault="00944FF3" w:rsidP="00351CC2">
            <w:pPr>
              <w:spacing w:after="0" w:line="240" w:lineRule="auto"/>
              <w:jc w:val="center"/>
              <w:rPr>
                <w:rFonts w:ascii="Calibri" w:hAnsi="Calibri" w:cs="Calibri"/>
                <w:b/>
                <w:bCs/>
                <w:i/>
                <w:iCs/>
                <w:color w:val="000000"/>
              </w:rPr>
            </w:pPr>
            <w:r w:rsidRPr="00944FF3">
              <w:rPr>
                <w:rFonts w:ascii="Calibri" w:hAnsi="Calibri" w:cs="Calibri"/>
                <w:b/>
                <w:bCs/>
                <w:i/>
                <w:iCs/>
                <w:color w:val="000000"/>
              </w:rPr>
              <w:t>0.5%</w:t>
            </w:r>
          </w:p>
        </w:tc>
        <w:tc>
          <w:tcPr>
            <w:tcW w:w="810" w:type="dxa"/>
            <w:shd w:val="clear" w:color="auto" w:fill="DAE4EC" w:themeFill="background2"/>
            <w:noWrap/>
            <w:vAlign w:val="center"/>
          </w:tcPr>
          <w:p w14:paraId="413B0304" w14:textId="77777777" w:rsidR="00944FF3" w:rsidRPr="00944FF3" w:rsidRDefault="00944FF3" w:rsidP="00351CC2">
            <w:pPr>
              <w:spacing w:after="0" w:line="240" w:lineRule="auto"/>
              <w:jc w:val="center"/>
              <w:rPr>
                <w:rFonts w:ascii="Calibri" w:hAnsi="Calibri" w:cs="Calibri"/>
                <w:b/>
                <w:bCs/>
                <w:i/>
                <w:iCs/>
                <w:color w:val="000000"/>
              </w:rPr>
            </w:pPr>
            <w:r w:rsidRPr="00944FF3">
              <w:rPr>
                <w:rFonts w:ascii="Calibri" w:hAnsi="Calibri" w:cs="Calibri"/>
                <w:b/>
                <w:bCs/>
                <w:i/>
                <w:iCs/>
                <w:color w:val="000000"/>
              </w:rPr>
              <w:t>1.5%</w:t>
            </w:r>
          </w:p>
        </w:tc>
        <w:tc>
          <w:tcPr>
            <w:tcW w:w="990" w:type="dxa"/>
            <w:shd w:val="clear" w:color="auto" w:fill="DAE4EC" w:themeFill="background2"/>
            <w:noWrap/>
            <w:vAlign w:val="center"/>
          </w:tcPr>
          <w:p w14:paraId="0FEF8DE4" w14:textId="77777777" w:rsidR="00944FF3" w:rsidRPr="00944FF3" w:rsidRDefault="00944FF3" w:rsidP="00351CC2">
            <w:pPr>
              <w:spacing w:after="0" w:line="240" w:lineRule="auto"/>
              <w:jc w:val="center"/>
              <w:rPr>
                <w:rFonts w:ascii="Calibri" w:hAnsi="Calibri" w:cs="Calibri"/>
                <w:b/>
                <w:bCs/>
                <w:i/>
                <w:iCs/>
                <w:color w:val="000000"/>
              </w:rPr>
            </w:pPr>
            <w:r w:rsidRPr="00944FF3">
              <w:rPr>
                <w:rFonts w:ascii="Calibri" w:hAnsi="Calibri" w:cs="Calibri"/>
                <w:b/>
                <w:bCs/>
                <w:i/>
                <w:iCs/>
                <w:color w:val="000000"/>
              </w:rPr>
              <w:t>1.0%</w:t>
            </w:r>
          </w:p>
        </w:tc>
        <w:tc>
          <w:tcPr>
            <w:tcW w:w="1710" w:type="dxa"/>
            <w:shd w:val="clear" w:color="auto" w:fill="DAE4EC" w:themeFill="background2"/>
            <w:noWrap/>
            <w:vAlign w:val="center"/>
          </w:tcPr>
          <w:p w14:paraId="74232AB5" w14:textId="77777777" w:rsidR="00944FF3" w:rsidRPr="00944FF3" w:rsidRDefault="00944FF3" w:rsidP="00351CC2">
            <w:pPr>
              <w:spacing w:after="0" w:line="240" w:lineRule="auto"/>
              <w:jc w:val="center"/>
              <w:rPr>
                <w:rFonts w:ascii="Calibri" w:hAnsi="Calibri" w:cs="Calibri"/>
                <w:b/>
                <w:bCs/>
                <w:i/>
                <w:iCs/>
                <w:color w:val="000000"/>
              </w:rPr>
            </w:pPr>
            <w:r w:rsidRPr="00944FF3">
              <w:rPr>
                <w:rFonts w:ascii="Calibri" w:hAnsi="Calibri" w:cs="Calibri"/>
                <w:b/>
                <w:bCs/>
                <w:i/>
                <w:iCs/>
                <w:color w:val="000000"/>
              </w:rPr>
              <w:t>1.5%</w:t>
            </w:r>
          </w:p>
        </w:tc>
      </w:tr>
    </w:tbl>
    <w:p w14:paraId="7611A516" w14:textId="7B85234D" w:rsidR="007C5F08" w:rsidRDefault="007C5F08" w:rsidP="005F5304">
      <w:pPr>
        <w:pStyle w:val="BodyText"/>
      </w:pPr>
    </w:p>
    <w:p w14:paraId="3DA8412D" w14:textId="326EE6FC" w:rsidR="00944FF3" w:rsidRDefault="00B00423" w:rsidP="00B00423">
      <w:pPr>
        <w:pStyle w:val="BodyText"/>
      </w:pPr>
      <w:r>
        <w:t xml:space="preserve">Although the number of admissions show the highest utilisation in the age bracket of 15 to 49 years, however the utilisation rate indicate that the highest proportion of oldest people (aged 70 years or more) utilised health services more often followed by infants in 2020. The female beneficiaries aged 50 to 69 years from the wider population have the highest utilisation rate.    </w:t>
      </w:r>
    </w:p>
    <w:p w14:paraId="64F1C526" w14:textId="77777777" w:rsidR="005F5304" w:rsidRPr="003506E5" w:rsidRDefault="005F5304" w:rsidP="005F5304">
      <w:pPr>
        <w:pStyle w:val="Heading20"/>
      </w:pPr>
      <w:bookmarkStart w:id="51" w:name="_Toc57215293"/>
      <w:r w:rsidRPr="003506E5">
        <w:t>Readmission cases</w:t>
      </w:r>
      <w:bookmarkEnd w:id="51"/>
    </w:p>
    <w:p w14:paraId="2A25378B" w14:textId="77777777" w:rsidR="005F5304" w:rsidRPr="003506E5" w:rsidRDefault="005F5304" w:rsidP="005F5304">
      <w:pPr>
        <w:pStyle w:val="BodyText"/>
      </w:pPr>
      <w:r w:rsidRPr="003506E5">
        <w:t>For the current reporting period, there is no readmission case in public or private hospitals within 30 days of initial admission.</w:t>
      </w:r>
    </w:p>
    <w:p w14:paraId="70D0A92F" w14:textId="77777777" w:rsidR="005F5304" w:rsidRPr="003506E5" w:rsidRDefault="005F5304" w:rsidP="005F5304">
      <w:pPr>
        <w:pStyle w:val="Heading20"/>
        <w:rPr>
          <w:color w:val="002147"/>
        </w:rPr>
      </w:pPr>
      <w:bookmarkStart w:id="52" w:name="_Toc57215294"/>
      <w:r w:rsidRPr="003506E5">
        <w:t>Length of Stay</w:t>
      </w:r>
      <w:bookmarkEnd w:id="52"/>
    </w:p>
    <w:p w14:paraId="1F4B2B9E" w14:textId="5CC2CDAA" w:rsidR="005F5304" w:rsidRPr="003506E5" w:rsidRDefault="005F5304" w:rsidP="00E52217">
      <w:pPr>
        <w:pStyle w:val="BodyText"/>
      </w:pPr>
      <w:r w:rsidRPr="003506E5">
        <w:t>During the reporting period, out of 5</w:t>
      </w:r>
      <w:r w:rsidR="00703CD7" w:rsidRPr="003506E5">
        <w:t>41</w:t>
      </w:r>
      <w:r w:rsidRPr="003506E5">
        <w:t xml:space="preserve"> admissions (</w:t>
      </w:r>
      <w:r w:rsidR="00703CD7" w:rsidRPr="003506E5">
        <w:t>352</w:t>
      </w:r>
      <w:r w:rsidRPr="003506E5">
        <w:t xml:space="preserve"> wider and 1</w:t>
      </w:r>
      <w:r w:rsidR="00703CD7" w:rsidRPr="003506E5">
        <w:t>89</w:t>
      </w:r>
      <w:r w:rsidRPr="003506E5">
        <w:t xml:space="preserve"> eligible), </w:t>
      </w:r>
      <w:r w:rsidR="00842652">
        <w:t>27</w:t>
      </w:r>
      <w:r w:rsidRPr="003506E5">
        <w:t xml:space="preserve">% of patients stayed for 1 day or less, </w:t>
      </w:r>
      <w:r w:rsidR="00842652">
        <w:t>33</w:t>
      </w:r>
      <w:r w:rsidRPr="003506E5">
        <w:t xml:space="preserve">% of patients stayed </w:t>
      </w:r>
      <w:r w:rsidR="00842652">
        <w:t xml:space="preserve">for </w:t>
      </w:r>
      <w:r w:rsidRPr="003506E5">
        <w:t>2 days, 1</w:t>
      </w:r>
      <w:r w:rsidR="00842652">
        <w:t>9</w:t>
      </w:r>
      <w:r w:rsidRPr="003506E5">
        <w:t xml:space="preserve">% of patients stayed for </w:t>
      </w:r>
      <w:r w:rsidR="00842652">
        <w:t>3</w:t>
      </w:r>
      <w:r w:rsidRPr="003506E5">
        <w:t xml:space="preserve"> days</w:t>
      </w:r>
      <w:r w:rsidR="00842652">
        <w:t xml:space="preserve">, </w:t>
      </w:r>
      <w:r w:rsidRPr="003506E5">
        <w:t xml:space="preserve"> </w:t>
      </w:r>
      <w:r w:rsidR="00842652">
        <w:t>1</w:t>
      </w:r>
      <w:r w:rsidR="00351CC2">
        <w:t>1</w:t>
      </w:r>
      <w:r w:rsidRPr="003506E5">
        <w:t xml:space="preserve">% patients stayed </w:t>
      </w:r>
      <w:r w:rsidR="00842652">
        <w:t xml:space="preserve">for 4 days and remaining 10% of patients remained admitted for </w:t>
      </w:r>
      <w:r w:rsidRPr="003506E5">
        <w:t>5 days</w:t>
      </w:r>
      <w:r w:rsidR="00842652">
        <w:t xml:space="preserve"> or longer</w:t>
      </w:r>
      <w:r w:rsidRPr="003506E5">
        <w:t xml:space="preserve">. The </w:t>
      </w:r>
      <w:r w:rsidR="00351CC2">
        <w:t xml:space="preserve">average </w:t>
      </w:r>
      <w:r w:rsidRPr="003506E5">
        <w:t xml:space="preserve">length of stay </w:t>
      </w:r>
      <w:r w:rsidR="00351CC2">
        <w:t xml:space="preserve">(ALOS) </w:t>
      </w:r>
      <w:r w:rsidRPr="003506E5">
        <w:t xml:space="preserve">in government hospitals </w:t>
      </w:r>
      <w:r w:rsidR="00351CC2">
        <w:t>was 3.5 days</w:t>
      </w:r>
      <w:r w:rsidRPr="003506E5">
        <w:t xml:space="preserve">, </w:t>
      </w:r>
      <w:r w:rsidRPr="003506E5">
        <w:lastRenderedPageBreak/>
        <w:t xml:space="preserve">whereas the </w:t>
      </w:r>
      <w:r w:rsidR="00351CC2">
        <w:t xml:space="preserve">ALOS </w:t>
      </w:r>
      <w:r w:rsidRPr="003506E5">
        <w:t xml:space="preserve">in private hospitals was </w:t>
      </w:r>
      <w:r w:rsidR="00351CC2">
        <w:t>2.2 days</w:t>
      </w:r>
      <w:r w:rsidRPr="003506E5">
        <w:t xml:space="preserve">. </w:t>
      </w:r>
      <w:r w:rsidR="00A465CE">
        <w:t>The following table show</w:t>
      </w:r>
      <w:r w:rsidR="00E52217">
        <w:t>s</w:t>
      </w:r>
      <w:r w:rsidR="00A465CE">
        <w:t xml:space="preserve"> </w:t>
      </w:r>
      <w:r w:rsidR="00E52217">
        <w:t>average</w:t>
      </w:r>
      <w:r w:rsidR="00A465CE">
        <w:t xml:space="preserve"> length of stay in the empanelled hospitals and in CMH. </w:t>
      </w:r>
    </w:p>
    <w:p w14:paraId="21D519E0" w14:textId="3E34EFE8" w:rsidR="005F5304" w:rsidRPr="003506E5" w:rsidRDefault="005F5304" w:rsidP="00A465CE">
      <w:pPr>
        <w:pStyle w:val="Caption"/>
      </w:pPr>
      <w:bookmarkStart w:id="53" w:name="_Toc57215237"/>
      <w:r w:rsidRPr="003506E5">
        <w:t xml:space="preserve">Table </w:t>
      </w:r>
      <w:r w:rsidR="00B76041" w:rsidRPr="003506E5">
        <w:fldChar w:fldCharType="begin"/>
      </w:r>
      <w:r w:rsidRPr="003506E5">
        <w:instrText xml:space="preserve"> SEQ Table \* ARABIC </w:instrText>
      </w:r>
      <w:r w:rsidR="00B76041" w:rsidRPr="003506E5">
        <w:fldChar w:fldCharType="separate"/>
      </w:r>
      <w:r w:rsidR="00AE4FA0">
        <w:rPr>
          <w:noProof/>
        </w:rPr>
        <w:t>17</w:t>
      </w:r>
      <w:r w:rsidR="00B76041" w:rsidRPr="003506E5">
        <w:fldChar w:fldCharType="end"/>
      </w:r>
      <w:r w:rsidRPr="003506E5">
        <w:t>:</w:t>
      </w:r>
      <w:r w:rsidR="00EB1301" w:rsidRPr="003506E5">
        <w:t xml:space="preserve"> </w:t>
      </w:r>
      <w:r w:rsidR="00A465CE">
        <w:t>ALOS</w:t>
      </w:r>
      <w:r w:rsidRPr="003506E5">
        <w:t xml:space="preserve"> </w:t>
      </w:r>
      <w:r w:rsidR="00A465CE">
        <w:t>in</w:t>
      </w:r>
      <w:r w:rsidRPr="003506E5">
        <w:t xml:space="preserve"> each hospital </w:t>
      </w:r>
      <w:r w:rsidR="00A465CE">
        <w:t xml:space="preserve">by type of enrolled population </w:t>
      </w:r>
      <w:r w:rsidRPr="003506E5">
        <w:t>(Jul-Dec 2019)</w:t>
      </w:r>
      <w:bookmarkEnd w:id="53"/>
    </w:p>
    <w:tbl>
      <w:tblPr>
        <w:tblW w:w="8360" w:type="dxa"/>
        <w:tblLook w:val="04A0" w:firstRow="1" w:lastRow="0" w:firstColumn="1" w:lastColumn="0" w:noHBand="0" w:noVBand="1"/>
      </w:tblPr>
      <w:tblGrid>
        <w:gridCol w:w="3707"/>
        <w:gridCol w:w="1484"/>
        <w:gridCol w:w="1428"/>
        <w:gridCol w:w="1741"/>
      </w:tblGrid>
      <w:tr w:rsidR="00A465CE" w:rsidRPr="003506E5" w14:paraId="4D1FAECD" w14:textId="49482A74" w:rsidTr="00AA5C94">
        <w:trPr>
          <w:trHeight w:val="505"/>
        </w:trPr>
        <w:tc>
          <w:tcPr>
            <w:tcW w:w="3707" w:type="dxa"/>
            <w:vMerge w:val="restart"/>
            <w:tcBorders>
              <w:top w:val="single" w:sz="8" w:space="0" w:color="45A7E1"/>
              <w:left w:val="single" w:sz="8" w:space="0" w:color="45A7E1"/>
              <w:bottom w:val="single" w:sz="8" w:space="0" w:color="45A7E1"/>
              <w:right w:val="single" w:sz="8" w:space="0" w:color="45A7E1"/>
            </w:tcBorders>
            <w:shd w:val="clear" w:color="000000" w:fill="0B1F51"/>
            <w:vAlign w:val="center"/>
            <w:hideMark/>
          </w:tcPr>
          <w:p w14:paraId="0A85E222" w14:textId="77777777" w:rsidR="00A465CE" w:rsidRPr="003506E5" w:rsidRDefault="00A465CE" w:rsidP="002A12CE">
            <w:pPr>
              <w:spacing w:after="0" w:line="240" w:lineRule="auto"/>
              <w:rPr>
                <w:rFonts w:eastAsia="Times New Roman"/>
                <w:b/>
                <w:bCs/>
                <w:color w:val="FFFFFF"/>
                <w:sz w:val="20"/>
                <w:szCs w:val="20"/>
                <w:lang w:eastAsia="en-US"/>
              </w:rPr>
            </w:pPr>
            <w:r w:rsidRPr="003506E5">
              <w:rPr>
                <w:rFonts w:eastAsia="Times New Roman"/>
                <w:b/>
                <w:bCs/>
                <w:color w:val="FFFFFF" w:themeColor="background1"/>
                <w:sz w:val="20"/>
                <w:szCs w:val="20"/>
                <w:lang w:eastAsia="en-US"/>
              </w:rPr>
              <w:t>Hospital</w:t>
            </w:r>
          </w:p>
        </w:tc>
        <w:tc>
          <w:tcPr>
            <w:tcW w:w="4653" w:type="dxa"/>
            <w:gridSpan w:val="3"/>
            <w:tcBorders>
              <w:top w:val="single" w:sz="8" w:space="0" w:color="45A7E1"/>
              <w:left w:val="nil"/>
              <w:bottom w:val="single" w:sz="8" w:space="0" w:color="45A7E1"/>
              <w:right w:val="single" w:sz="8" w:space="0" w:color="45A7E1"/>
            </w:tcBorders>
            <w:shd w:val="clear" w:color="000000" w:fill="0B1F51"/>
            <w:vAlign w:val="center"/>
            <w:hideMark/>
          </w:tcPr>
          <w:p w14:paraId="7091858B" w14:textId="37850F21" w:rsidR="00A465CE" w:rsidRPr="003506E5" w:rsidRDefault="00A465CE" w:rsidP="002A12CE">
            <w:pPr>
              <w:spacing w:after="0" w:line="240" w:lineRule="auto"/>
              <w:jc w:val="center"/>
              <w:rPr>
                <w:rFonts w:eastAsia="Times New Roman"/>
                <w:b/>
                <w:bCs/>
                <w:color w:val="FFFFFF" w:themeColor="background1"/>
                <w:sz w:val="20"/>
                <w:szCs w:val="20"/>
                <w:lang w:eastAsia="en-US"/>
              </w:rPr>
            </w:pPr>
            <w:r w:rsidRPr="003506E5">
              <w:rPr>
                <w:rFonts w:eastAsia="Times New Roman"/>
                <w:b/>
                <w:bCs/>
                <w:color w:val="FFFFFF" w:themeColor="background1"/>
                <w:sz w:val="20"/>
                <w:szCs w:val="20"/>
                <w:lang w:eastAsia="en-US"/>
              </w:rPr>
              <w:t>Average Length of Stay</w:t>
            </w:r>
            <w:r>
              <w:rPr>
                <w:rFonts w:eastAsia="Times New Roman"/>
                <w:b/>
                <w:bCs/>
                <w:color w:val="FFFFFF" w:themeColor="background1"/>
                <w:sz w:val="20"/>
                <w:szCs w:val="20"/>
                <w:lang w:eastAsia="en-US"/>
              </w:rPr>
              <w:t xml:space="preserve"> (Days)</w:t>
            </w:r>
          </w:p>
        </w:tc>
      </w:tr>
      <w:tr w:rsidR="00A465CE" w:rsidRPr="003506E5" w14:paraId="07580A6B" w14:textId="19BD2ACC" w:rsidTr="00A465CE">
        <w:trPr>
          <w:trHeight w:val="291"/>
        </w:trPr>
        <w:tc>
          <w:tcPr>
            <w:tcW w:w="3707" w:type="dxa"/>
            <w:vMerge/>
            <w:tcBorders>
              <w:top w:val="single" w:sz="8" w:space="0" w:color="45A7E1"/>
              <w:left w:val="single" w:sz="8" w:space="0" w:color="45A7E1"/>
              <w:bottom w:val="single" w:sz="8" w:space="0" w:color="45A7E1"/>
              <w:right w:val="single" w:sz="8" w:space="0" w:color="45A7E1"/>
            </w:tcBorders>
            <w:vAlign w:val="center"/>
            <w:hideMark/>
          </w:tcPr>
          <w:p w14:paraId="5381C457" w14:textId="77777777" w:rsidR="00A465CE" w:rsidRPr="003506E5" w:rsidRDefault="00A465CE" w:rsidP="002A12CE">
            <w:pPr>
              <w:spacing w:after="0" w:line="240" w:lineRule="auto"/>
              <w:rPr>
                <w:rFonts w:eastAsia="Times New Roman"/>
                <w:b/>
                <w:bCs/>
                <w:color w:val="FFFFFF"/>
                <w:sz w:val="20"/>
                <w:szCs w:val="20"/>
                <w:lang w:eastAsia="en-US"/>
              </w:rPr>
            </w:pPr>
          </w:p>
        </w:tc>
        <w:tc>
          <w:tcPr>
            <w:tcW w:w="1484" w:type="dxa"/>
            <w:tcBorders>
              <w:top w:val="nil"/>
              <w:left w:val="nil"/>
              <w:bottom w:val="single" w:sz="8" w:space="0" w:color="45A7E1"/>
              <w:right w:val="single" w:sz="8" w:space="0" w:color="45A7E1"/>
            </w:tcBorders>
            <w:shd w:val="clear" w:color="000000" w:fill="0A1F50"/>
            <w:vAlign w:val="center"/>
            <w:hideMark/>
          </w:tcPr>
          <w:p w14:paraId="34561D97" w14:textId="77777777" w:rsidR="00A465CE" w:rsidRPr="003506E5" w:rsidRDefault="00A465CE" w:rsidP="002A12CE">
            <w:pPr>
              <w:spacing w:after="0" w:line="240" w:lineRule="auto"/>
              <w:jc w:val="center"/>
              <w:rPr>
                <w:rFonts w:eastAsia="Times New Roman"/>
                <w:b/>
                <w:bCs/>
                <w:color w:val="FFFFFF"/>
                <w:sz w:val="20"/>
                <w:szCs w:val="20"/>
                <w:lang w:eastAsia="en-US"/>
              </w:rPr>
            </w:pPr>
            <w:r w:rsidRPr="003506E5">
              <w:rPr>
                <w:rFonts w:eastAsia="Times New Roman"/>
                <w:b/>
                <w:bCs/>
                <w:sz w:val="20"/>
                <w:szCs w:val="20"/>
                <w:lang w:eastAsia="en-US"/>
              </w:rPr>
              <w:t>Eligible</w:t>
            </w:r>
          </w:p>
        </w:tc>
        <w:tc>
          <w:tcPr>
            <w:tcW w:w="1428" w:type="dxa"/>
            <w:tcBorders>
              <w:top w:val="nil"/>
              <w:left w:val="nil"/>
              <w:bottom w:val="single" w:sz="8" w:space="0" w:color="45A7E1"/>
              <w:right w:val="single" w:sz="8" w:space="0" w:color="45A7E1"/>
            </w:tcBorders>
            <w:shd w:val="clear" w:color="000000" w:fill="0A1F50"/>
            <w:vAlign w:val="center"/>
            <w:hideMark/>
          </w:tcPr>
          <w:p w14:paraId="66B9F77B" w14:textId="77777777" w:rsidR="00A465CE" w:rsidRPr="003506E5" w:rsidRDefault="00A465CE" w:rsidP="002A12CE">
            <w:pPr>
              <w:spacing w:after="0" w:line="240" w:lineRule="auto"/>
              <w:jc w:val="center"/>
              <w:rPr>
                <w:rFonts w:eastAsia="Times New Roman"/>
                <w:b/>
                <w:bCs/>
                <w:color w:val="FFFFFF"/>
                <w:sz w:val="20"/>
                <w:szCs w:val="20"/>
                <w:lang w:eastAsia="en-US"/>
              </w:rPr>
            </w:pPr>
            <w:r w:rsidRPr="003506E5">
              <w:rPr>
                <w:rFonts w:eastAsia="Times New Roman"/>
                <w:b/>
                <w:bCs/>
                <w:sz w:val="20"/>
                <w:szCs w:val="20"/>
                <w:lang w:eastAsia="en-US"/>
              </w:rPr>
              <w:t>Wider</w:t>
            </w:r>
          </w:p>
        </w:tc>
        <w:tc>
          <w:tcPr>
            <w:tcW w:w="1741" w:type="dxa"/>
            <w:tcBorders>
              <w:top w:val="nil"/>
              <w:left w:val="nil"/>
              <w:bottom w:val="single" w:sz="8" w:space="0" w:color="45A7E1"/>
              <w:right w:val="single" w:sz="8" w:space="0" w:color="45A7E1"/>
            </w:tcBorders>
            <w:shd w:val="clear" w:color="000000" w:fill="0A1F50"/>
          </w:tcPr>
          <w:p w14:paraId="091F8CFC" w14:textId="49C5A776" w:rsidR="00A465CE" w:rsidRPr="003506E5" w:rsidRDefault="00A465CE" w:rsidP="002A12CE">
            <w:pPr>
              <w:spacing w:after="0" w:line="240" w:lineRule="auto"/>
              <w:jc w:val="center"/>
              <w:rPr>
                <w:rFonts w:eastAsia="Times New Roman"/>
                <w:b/>
                <w:bCs/>
                <w:sz w:val="20"/>
                <w:szCs w:val="20"/>
                <w:lang w:eastAsia="en-US"/>
              </w:rPr>
            </w:pPr>
            <w:r>
              <w:rPr>
                <w:rFonts w:eastAsia="Times New Roman"/>
                <w:b/>
                <w:bCs/>
                <w:sz w:val="20"/>
                <w:szCs w:val="20"/>
                <w:lang w:eastAsia="en-US"/>
              </w:rPr>
              <w:t>Overall</w:t>
            </w:r>
          </w:p>
        </w:tc>
      </w:tr>
      <w:tr w:rsidR="00A465CE" w:rsidRPr="003506E5" w14:paraId="2E277F0C" w14:textId="1A704DDB" w:rsidTr="00A465CE">
        <w:trPr>
          <w:trHeight w:val="288"/>
        </w:trPr>
        <w:tc>
          <w:tcPr>
            <w:tcW w:w="3707" w:type="dxa"/>
            <w:tcBorders>
              <w:top w:val="nil"/>
              <w:left w:val="single" w:sz="8" w:space="0" w:color="45A7E1"/>
              <w:bottom w:val="single" w:sz="8" w:space="0" w:color="45A7E1"/>
              <w:right w:val="single" w:sz="8" w:space="0" w:color="45A7E1"/>
            </w:tcBorders>
            <w:shd w:val="clear" w:color="000000" w:fill="DBE4ED"/>
            <w:vAlign w:val="center"/>
            <w:hideMark/>
          </w:tcPr>
          <w:p w14:paraId="57947174" w14:textId="4E1B97F6" w:rsidR="00A465CE" w:rsidRPr="003506E5" w:rsidRDefault="00A465CE" w:rsidP="002A12CE">
            <w:pPr>
              <w:spacing w:after="0" w:line="240" w:lineRule="auto"/>
              <w:rPr>
                <w:rFonts w:eastAsia="Times New Roman"/>
                <w:b/>
                <w:bCs/>
                <w:color w:val="0B1F51"/>
                <w:sz w:val="20"/>
                <w:szCs w:val="20"/>
                <w:lang w:eastAsia="en-US"/>
              </w:rPr>
            </w:pPr>
            <w:r w:rsidRPr="003506E5">
              <w:rPr>
                <w:rFonts w:eastAsia="Times New Roman"/>
                <w:b/>
                <w:bCs/>
                <w:color w:val="0B1F51"/>
                <w:sz w:val="20"/>
                <w:szCs w:val="20"/>
                <w:lang w:eastAsia="en-US"/>
              </w:rPr>
              <w:t xml:space="preserve">City </w:t>
            </w:r>
            <w:r w:rsidR="00CB5120">
              <w:rPr>
                <w:rFonts w:eastAsia="Times New Roman"/>
                <w:b/>
                <w:bCs/>
                <w:color w:val="0B1F51"/>
                <w:sz w:val="20"/>
                <w:szCs w:val="20"/>
                <w:lang w:eastAsia="en-US"/>
              </w:rPr>
              <w:t xml:space="preserve">Hospital, </w:t>
            </w:r>
            <w:r w:rsidRPr="003506E5">
              <w:rPr>
                <w:rFonts w:eastAsia="Times New Roman"/>
                <w:b/>
                <w:bCs/>
                <w:color w:val="0B1F51"/>
                <w:sz w:val="20"/>
                <w:szCs w:val="20"/>
                <w:lang w:eastAsia="en-US"/>
              </w:rPr>
              <w:t>Gilgit</w:t>
            </w:r>
          </w:p>
        </w:tc>
        <w:tc>
          <w:tcPr>
            <w:tcW w:w="1484" w:type="dxa"/>
            <w:tcBorders>
              <w:top w:val="nil"/>
              <w:left w:val="nil"/>
              <w:bottom w:val="single" w:sz="8" w:space="0" w:color="45A7E1"/>
              <w:right w:val="single" w:sz="8" w:space="0" w:color="45A7E1"/>
            </w:tcBorders>
            <w:shd w:val="clear" w:color="000000" w:fill="DBE4ED"/>
            <w:vAlign w:val="center"/>
          </w:tcPr>
          <w:p w14:paraId="74D14D06" w14:textId="2BF15880" w:rsidR="00A465CE" w:rsidRPr="003506E5" w:rsidRDefault="00A465CE" w:rsidP="002A12CE">
            <w:pPr>
              <w:spacing w:after="0" w:line="240" w:lineRule="auto"/>
              <w:jc w:val="center"/>
              <w:rPr>
                <w:rFonts w:eastAsia="Times New Roman"/>
                <w:color w:val="000000"/>
                <w:sz w:val="20"/>
                <w:szCs w:val="20"/>
                <w:lang w:eastAsia="en-US"/>
              </w:rPr>
            </w:pPr>
            <w:r>
              <w:rPr>
                <w:rFonts w:eastAsia="Times New Roman"/>
                <w:color w:val="000000"/>
                <w:sz w:val="20"/>
                <w:szCs w:val="20"/>
                <w:lang w:eastAsia="en-US"/>
              </w:rPr>
              <w:t>3.4</w:t>
            </w:r>
          </w:p>
        </w:tc>
        <w:tc>
          <w:tcPr>
            <w:tcW w:w="1428" w:type="dxa"/>
            <w:tcBorders>
              <w:top w:val="nil"/>
              <w:left w:val="nil"/>
              <w:bottom w:val="single" w:sz="8" w:space="0" w:color="45A7E1"/>
              <w:right w:val="single" w:sz="8" w:space="0" w:color="45A7E1"/>
            </w:tcBorders>
            <w:shd w:val="clear" w:color="000000" w:fill="DBE4ED"/>
            <w:vAlign w:val="center"/>
          </w:tcPr>
          <w:p w14:paraId="1C84CFE0" w14:textId="0423FE72" w:rsidR="00A465CE" w:rsidRPr="003506E5" w:rsidRDefault="00A465CE" w:rsidP="002A12CE">
            <w:pPr>
              <w:spacing w:after="0" w:line="240" w:lineRule="auto"/>
              <w:jc w:val="center"/>
              <w:rPr>
                <w:rFonts w:eastAsia="Times New Roman"/>
                <w:color w:val="000000"/>
                <w:sz w:val="20"/>
                <w:szCs w:val="20"/>
                <w:lang w:eastAsia="en-US"/>
              </w:rPr>
            </w:pPr>
            <w:r>
              <w:rPr>
                <w:rFonts w:eastAsia="Times New Roman"/>
                <w:color w:val="000000"/>
                <w:sz w:val="20"/>
                <w:szCs w:val="20"/>
                <w:lang w:eastAsia="en-US"/>
              </w:rPr>
              <w:t>4.4</w:t>
            </w:r>
          </w:p>
        </w:tc>
        <w:tc>
          <w:tcPr>
            <w:tcW w:w="1741" w:type="dxa"/>
            <w:tcBorders>
              <w:top w:val="nil"/>
              <w:left w:val="nil"/>
              <w:bottom w:val="single" w:sz="8" w:space="0" w:color="45A7E1"/>
              <w:right w:val="single" w:sz="8" w:space="0" w:color="45A7E1"/>
            </w:tcBorders>
            <w:shd w:val="clear" w:color="000000" w:fill="DBE4ED"/>
          </w:tcPr>
          <w:p w14:paraId="616787C6" w14:textId="2A41B088" w:rsidR="00A465CE" w:rsidRDefault="00A465CE" w:rsidP="002A12CE">
            <w:pPr>
              <w:spacing w:after="0" w:line="240" w:lineRule="auto"/>
              <w:jc w:val="center"/>
              <w:rPr>
                <w:rFonts w:eastAsia="Times New Roman"/>
                <w:color w:val="000000"/>
                <w:sz w:val="20"/>
                <w:szCs w:val="20"/>
                <w:lang w:eastAsia="en-US"/>
              </w:rPr>
            </w:pPr>
            <w:r>
              <w:rPr>
                <w:rFonts w:eastAsia="Times New Roman"/>
                <w:color w:val="000000"/>
                <w:sz w:val="20"/>
                <w:szCs w:val="20"/>
                <w:lang w:eastAsia="en-US"/>
              </w:rPr>
              <w:t>3.4</w:t>
            </w:r>
          </w:p>
        </w:tc>
      </w:tr>
      <w:tr w:rsidR="00A465CE" w:rsidRPr="003506E5" w14:paraId="0456A11A" w14:textId="5BD0A021" w:rsidTr="00A465CE">
        <w:trPr>
          <w:trHeight w:val="288"/>
        </w:trPr>
        <w:tc>
          <w:tcPr>
            <w:tcW w:w="3707" w:type="dxa"/>
            <w:tcBorders>
              <w:top w:val="nil"/>
              <w:left w:val="single" w:sz="8" w:space="0" w:color="45A7E1"/>
              <w:bottom w:val="single" w:sz="8" w:space="0" w:color="45A7E1"/>
              <w:right w:val="single" w:sz="8" w:space="0" w:color="45A7E1"/>
            </w:tcBorders>
            <w:shd w:val="clear" w:color="000000" w:fill="DBE4ED"/>
            <w:vAlign w:val="center"/>
            <w:hideMark/>
          </w:tcPr>
          <w:p w14:paraId="3C41AB74" w14:textId="77777777" w:rsidR="00A465CE" w:rsidRPr="003506E5" w:rsidRDefault="00A465CE" w:rsidP="002A12CE">
            <w:pPr>
              <w:spacing w:after="0" w:line="240" w:lineRule="auto"/>
              <w:rPr>
                <w:rFonts w:eastAsia="Times New Roman"/>
                <w:b/>
                <w:bCs/>
                <w:color w:val="0B1F51"/>
                <w:sz w:val="20"/>
                <w:szCs w:val="20"/>
                <w:lang w:eastAsia="en-US"/>
              </w:rPr>
            </w:pPr>
            <w:r w:rsidRPr="003506E5">
              <w:rPr>
                <w:rFonts w:eastAsia="Times New Roman"/>
                <w:b/>
                <w:bCs/>
                <w:color w:val="0B1F51"/>
                <w:sz w:val="20"/>
                <w:szCs w:val="20"/>
                <w:lang w:eastAsia="en-US"/>
              </w:rPr>
              <w:t>District Head Quarter</w:t>
            </w:r>
          </w:p>
        </w:tc>
        <w:tc>
          <w:tcPr>
            <w:tcW w:w="1484" w:type="dxa"/>
            <w:tcBorders>
              <w:top w:val="nil"/>
              <w:left w:val="nil"/>
              <w:bottom w:val="single" w:sz="8" w:space="0" w:color="45A7E1"/>
              <w:right w:val="single" w:sz="8" w:space="0" w:color="45A7E1"/>
            </w:tcBorders>
            <w:shd w:val="clear" w:color="000000" w:fill="DBE4ED"/>
            <w:vAlign w:val="center"/>
          </w:tcPr>
          <w:p w14:paraId="3E5B4E8B" w14:textId="400BBB47" w:rsidR="00A465CE" w:rsidRPr="003506E5" w:rsidRDefault="00A465CE" w:rsidP="002A12CE">
            <w:pPr>
              <w:spacing w:after="0" w:line="240" w:lineRule="auto"/>
              <w:jc w:val="center"/>
              <w:rPr>
                <w:rFonts w:eastAsia="Times New Roman"/>
                <w:color w:val="000000"/>
                <w:sz w:val="20"/>
                <w:szCs w:val="20"/>
                <w:lang w:eastAsia="en-US"/>
              </w:rPr>
            </w:pPr>
            <w:r>
              <w:rPr>
                <w:rFonts w:eastAsia="Times New Roman"/>
                <w:color w:val="000000"/>
                <w:sz w:val="20"/>
                <w:szCs w:val="20"/>
                <w:lang w:eastAsia="en-US"/>
              </w:rPr>
              <w:t>3.6</w:t>
            </w:r>
          </w:p>
        </w:tc>
        <w:tc>
          <w:tcPr>
            <w:tcW w:w="1428" w:type="dxa"/>
            <w:tcBorders>
              <w:top w:val="nil"/>
              <w:left w:val="nil"/>
              <w:bottom w:val="single" w:sz="8" w:space="0" w:color="45A7E1"/>
              <w:right w:val="single" w:sz="8" w:space="0" w:color="45A7E1"/>
            </w:tcBorders>
            <w:shd w:val="clear" w:color="000000" w:fill="DBE4ED"/>
            <w:vAlign w:val="center"/>
          </w:tcPr>
          <w:p w14:paraId="4FE0F653" w14:textId="2298F66C" w:rsidR="00A465CE" w:rsidRPr="003506E5" w:rsidRDefault="00A465CE" w:rsidP="002A12CE">
            <w:pPr>
              <w:spacing w:after="0" w:line="240" w:lineRule="auto"/>
              <w:jc w:val="center"/>
              <w:rPr>
                <w:rFonts w:eastAsia="Times New Roman"/>
                <w:color w:val="000000"/>
                <w:sz w:val="20"/>
                <w:szCs w:val="20"/>
                <w:lang w:eastAsia="en-US"/>
              </w:rPr>
            </w:pPr>
            <w:r>
              <w:rPr>
                <w:rFonts w:eastAsia="Times New Roman"/>
                <w:color w:val="000000"/>
                <w:sz w:val="20"/>
                <w:szCs w:val="20"/>
                <w:lang w:eastAsia="en-US"/>
              </w:rPr>
              <w:t>3.7</w:t>
            </w:r>
          </w:p>
        </w:tc>
        <w:tc>
          <w:tcPr>
            <w:tcW w:w="1741" w:type="dxa"/>
            <w:tcBorders>
              <w:top w:val="nil"/>
              <w:left w:val="nil"/>
              <w:bottom w:val="single" w:sz="8" w:space="0" w:color="45A7E1"/>
              <w:right w:val="single" w:sz="8" w:space="0" w:color="45A7E1"/>
            </w:tcBorders>
            <w:shd w:val="clear" w:color="000000" w:fill="DBE4ED"/>
          </w:tcPr>
          <w:p w14:paraId="6D9BECB9" w14:textId="4C02652C" w:rsidR="00A465CE" w:rsidRDefault="00A465CE" w:rsidP="002A12CE">
            <w:pPr>
              <w:spacing w:after="0" w:line="240" w:lineRule="auto"/>
              <w:jc w:val="center"/>
              <w:rPr>
                <w:rFonts w:eastAsia="Times New Roman"/>
                <w:color w:val="000000"/>
                <w:sz w:val="20"/>
                <w:szCs w:val="20"/>
                <w:lang w:eastAsia="en-US"/>
              </w:rPr>
            </w:pPr>
            <w:r>
              <w:rPr>
                <w:rFonts w:eastAsia="Times New Roman"/>
                <w:color w:val="000000"/>
                <w:sz w:val="20"/>
                <w:szCs w:val="20"/>
                <w:lang w:eastAsia="en-US"/>
              </w:rPr>
              <w:t>3.6</w:t>
            </w:r>
          </w:p>
        </w:tc>
      </w:tr>
      <w:tr w:rsidR="00A465CE" w:rsidRPr="003506E5" w14:paraId="759D411D" w14:textId="11D57424" w:rsidTr="00A465CE">
        <w:trPr>
          <w:trHeight w:val="288"/>
        </w:trPr>
        <w:tc>
          <w:tcPr>
            <w:tcW w:w="3707" w:type="dxa"/>
            <w:tcBorders>
              <w:top w:val="nil"/>
              <w:left w:val="single" w:sz="8" w:space="0" w:color="45A7E1"/>
              <w:bottom w:val="single" w:sz="8" w:space="0" w:color="45A7E1"/>
              <w:right w:val="single" w:sz="8" w:space="0" w:color="45A7E1"/>
            </w:tcBorders>
            <w:shd w:val="clear" w:color="000000" w:fill="DBE4ED"/>
            <w:vAlign w:val="center"/>
            <w:hideMark/>
          </w:tcPr>
          <w:p w14:paraId="0A6F18D9" w14:textId="77777777" w:rsidR="00A465CE" w:rsidRPr="003506E5" w:rsidRDefault="00A465CE" w:rsidP="002A12CE">
            <w:pPr>
              <w:spacing w:after="0" w:line="240" w:lineRule="auto"/>
              <w:rPr>
                <w:rFonts w:eastAsia="Times New Roman"/>
                <w:b/>
                <w:bCs/>
                <w:color w:val="0B1F51"/>
                <w:sz w:val="20"/>
                <w:szCs w:val="20"/>
                <w:lang w:eastAsia="en-US"/>
              </w:rPr>
            </w:pPr>
            <w:r w:rsidRPr="003506E5">
              <w:rPr>
                <w:rFonts w:eastAsia="Times New Roman"/>
                <w:b/>
                <w:bCs/>
                <w:color w:val="0B1F51"/>
                <w:sz w:val="20"/>
                <w:szCs w:val="20"/>
                <w:lang w:eastAsia="en-US"/>
              </w:rPr>
              <w:t>AK Medical Centre (GMC)</w:t>
            </w:r>
          </w:p>
        </w:tc>
        <w:tc>
          <w:tcPr>
            <w:tcW w:w="1484" w:type="dxa"/>
            <w:tcBorders>
              <w:top w:val="nil"/>
              <w:left w:val="nil"/>
              <w:bottom w:val="single" w:sz="8" w:space="0" w:color="45A7E1"/>
              <w:right w:val="single" w:sz="8" w:space="0" w:color="45A7E1"/>
            </w:tcBorders>
            <w:shd w:val="clear" w:color="000000" w:fill="DBE4ED"/>
            <w:vAlign w:val="center"/>
          </w:tcPr>
          <w:p w14:paraId="6318EB5C" w14:textId="15332EB6" w:rsidR="00A465CE" w:rsidRPr="003506E5" w:rsidRDefault="00A465CE" w:rsidP="002A12CE">
            <w:pPr>
              <w:spacing w:after="0" w:line="240" w:lineRule="auto"/>
              <w:jc w:val="center"/>
              <w:rPr>
                <w:rFonts w:eastAsia="Times New Roman"/>
                <w:color w:val="000000"/>
                <w:sz w:val="20"/>
                <w:szCs w:val="20"/>
                <w:lang w:eastAsia="en-US"/>
              </w:rPr>
            </w:pPr>
            <w:r>
              <w:rPr>
                <w:rFonts w:eastAsia="Times New Roman"/>
                <w:color w:val="000000"/>
                <w:sz w:val="20"/>
                <w:szCs w:val="20"/>
                <w:lang w:eastAsia="en-US"/>
              </w:rPr>
              <w:t>2.8</w:t>
            </w:r>
          </w:p>
        </w:tc>
        <w:tc>
          <w:tcPr>
            <w:tcW w:w="1428" w:type="dxa"/>
            <w:tcBorders>
              <w:top w:val="nil"/>
              <w:left w:val="nil"/>
              <w:bottom w:val="single" w:sz="8" w:space="0" w:color="45A7E1"/>
              <w:right w:val="single" w:sz="8" w:space="0" w:color="45A7E1"/>
            </w:tcBorders>
            <w:shd w:val="clear" w:color="000000" w:fill="DBE4ED"/>
            <w:vAlign w:val="center"/>
          </w:tcPr>
          <w:p w14:paraId="4E0A20E8" w14:textId="4C410C42" w:rsidR="00A465CE" w:rsidRPr="003506E5" w:rsidRDefault="00A465CE" w:rsidP="002A12CE">
            <w:pPr>
              <w:spacing w:after="0" w:line="240" w:lineRule="auto"/>
              <w:jc w:val="center"/>
              <w:rPr>
                <w:rFonts w:eastAsia="Times New Roman"/>
                <w:color w:val="000000"/>
                <w:sz w:val="20"/>
                <w:szCs w:val="20"/>
                <w:lang w:eastAsia="en-US"/>
              </w:rPr>
            </w:pPr>
            <w:r>
              <w:rPr>
                <w:rFonts w:eastAsia="Times New Roman"/>
                <w:color w:val="000000"/>
                <w:sz w:val="20"/>
                <w:szCs w:val="20"/>
                <w:lang w:eastAsia="en-US"/>
              </w:rPr>
              <w:t>2.3</w:t>
            </w:r>
          </w:p>
        </w:tc>
        <w:tc>
          <w:tcPr>
            <w:tcW w:w="1741" w:type="dxa"/>
            <w:tcBorders>
              <w:top w:val="nil"/>
              <w:left w:val="nil"/>
              <w:bottom w:val="single" w:sz="8" w:space="0" w:color="45A7E1"/>
              <w:right w:val="single" w:sz="8" w:space="0" w:color="45A7E1"/>
            </w:tcBorders>
            <w:shd w:val="clear" w:color="000000" w:fill="DBE4ED"/>
          </w:tcPr>
          <w:p w14:paraId="44D5312A" w14:textId="5DC2D131" w:rsidR="00A465CE" w:rsidRPr="003506E5" w:rsidRDefault="00A465CE" w:rsidP="002A12CE">
            <w:pPr>
              <w:spacing w:after="0" w:line="240" w:lineRule="auto"/>
              <w:jc w:val="center"/>
              <w:rPr>
                <w:rFonts w:eastAsia="Times New Roman"/>
                <w:color w:val="000000"/>
                <w:sz w:val="20"/>
                <w:szCs w:val="20"/>
                <w:lang w:eastAsia="en-US"/>
              </w:rPr>
            </w:pPr>
            <w:r>
              <w:rPr>
                <w:rFonts w:eastAsia="Times New Roman"/>
                <w:color w:val="000000"/>
                <w:sz w:val="20"/>
                <w:szCs w:val="20"/>
                <w:lang w:eastAsia="en-US"/>
              </w:rPr>
              <w:t>2.3</w:t>
            </w:r>
          </w:p>
        </w:tc>
      </w:tr>
      <w:tr w:rsidR="00A465CE" w:rsidRPr="003506E5" w14:paraId="0AC0F9B3" w14:textId="41CBF8EA" w:rsidTr="00A465CE">
        <w:trPr>
          <w:trHeight w:val="288"/>
        </w:trPr>
        <w:tc>
          <w:tcPr>
            <w:tcW w:w="3707" w:type="dxa"/>
            <w:tcBorders>
              <w:top w:val="nil"/>
              <w:left w:val="single" w:sz="8" w:space="0" w:color="45A7E1"/>
              <w:bottom w:val="single" w:sz="8" w:space="0" w:color="45A7E1"/>
              <w:right w:val="single" w:sz="8" w:space="0" w:color="45A7E1"/>
            </w:tcBorders>
            <w:shd w:val="clear" w:color="000000" w:fill="DBE4ED"/>
            <w:vAlign w:val="center"/>
            <w:hideMark/>
          </w:tcPr>
          <w:p w14:paraId="2CD7F7C3" w14:textId="77777777" w:rsidR="00A465CE" w:rsidRPr="003506E5" w:rsidRDefault="00A465CE" w:rsidP="002A12CE">
            <w:pPr>
              <w:spacing w:after="0" w:line="240" w:lineRule="auto"/>
              <w:rPr>
                <w:rFonts w:eastAsia="Times New Roman"/>
                <w:b/>
                <w:bCs/>
                <w:color w:val="0B1F51"/>
                <w:sz w:val="20"/>
                <w:szCs w:val="20"/>
                <w:lang w:eastAsia="en-US"/>
              </w:rPr>
            </w:pPr>
            <w:r w:rsidRPr="003506E5">
              <w:rPr>
                <w:rFonts w:eastAsia="Times New Roman"/>
                <w:b/>
                <w:bCs/>
                <w:color w:val="0B1F51"/>
                <w:sz w:val="20"/>
                <w:szCs w:val="20"/>
                <w:lang w:eastAsia="en-US"/>
              </w:rPr>
              <w:t>Sehat Foundation Hospital</w:t>
            </w:r>
          </w:p>
        </w:tc>
        <w:tc>
          <w:tcPr>
            <w:tcW w:w="1484" w:type="dxa"/>
            <w:tcBorders>
              <w:top w:val="nil"/>
              <w:left w:val="nil"/>
              <w:bottom w:val="single" w:sz="8" w:space="0" w:color="45A7E1"/>
              <w:right w:val="single" w:sz="8" w:space="0" w:color="45A7E1"/>
            </w:tcBorders>
            <w:shd w:val="clear" w:color="000000" w:fill="DBE4ED"/>
            <w:vAlign w:val="center"/>
          </w:tcPr>
          <w:p w14:paraId="7448C1FD" w14:textId="62026D33" w:rsidR="00A465CE" w:rsidRPr="003506E5" w:rsidRDefault="00A465CE" w:rsidP="002A12CE">
            <w:pPr>
              <w:spacing w:after="0" w:line="240" w:lineRule="auto"/>
              <w:jc w:val="center"/>
              <w:rPr>
                <w:rFonts w:eastAsia="Times New Roman"/>
                <w:color w:val="000000"/>
                <w:sz w:val="20"/>
                <w:szCs w:val="20"/>
                <w:lang w:eastAsia="en-US"/>
              </w:rPr>
            </w:pPr>
            <w:r>
              <w:rPr>
                <w:rFonts w:eastAsia="Times New Roman"/>
                <w:color w:val="000000"/>
                <w:sz w:val="20"/>
                <w:szCs w:val="20"/>
                <w:lang w:eastAsia="en-US"/>
              </w:rPr>
              <w:t>1.8</w:t>
            </w:r>
          </w:p>
        </w:tc>
        <w:tc>
          <w:tcPr>
            <w:tcW w:w="1428" w:type="dxa"/>
            <w:tcBorders>
              <w:top w:val="nil"/>
              <w:left w:val="nil"/>
              <w:bottom w:val="single" w:sz="8" w:space="0" w:color="45A7E1"/>
              <w:right w:val="single" w:sz="8" w:space="0" w:color="45A7E1"/>
            </w:tcBorders>
            <w:shd w:val="clear" w:color="000000" w:fill="DBE4ED"/>
            <w:vAlign w:val="center"/>
          </w:tcPr>
          <w:p w14:paraId="2646F20F" w14:textId="7BFDDB27" w:rsidR="00A465CE" w:rsidRPr="003506E5" w:rsidRDefault="00A465CE" w:rsidP="002A12CE">
            <w:pPr>
              <w:spacing w:after="0" w:line="240" w:lineRule="auto"/>
              <w:jc w:val="center"/>
              <w:rPr>
                <w:rFonts w:eastAsia="Times New Roman"/>
                <w:color w:val="000000"/>
                <w:sz w:val="20"/>
                <w:szCs w:val="20"/>
                <w:lang w:eastAsia="en-US"/>
              </w:rPr>
            </w:pPr>
            <w:r>
              <w:rPr>
                <w:rFonts w:eastAsia="Times New Roman"/>
                <w:color w:val="000000"/>
                <w:sz w:val="20"/>
                <w:szCs w:val="20"/>
                <w:lang w:eastAsia="en-US"/>
              </w:rPr>
              <w:t>1.0</w:t>
            </w:r>
          </w:p>
        </w:tc>
        <w:tc>
          <w:tcPr>
            <w:tcW w:w="1741" w:type="dxa"/>
            <w:tcBorders>
              <w:top w:val="nil"/>
              <w:left w:val="nil"/>
              <w:bottom w:val="single" w:sz="8" w:space="0" w:color="45A7E1"/>
              <w:right w:val="single" w:sz="8" w:space="0" w:color="45A7E1"/>
            </w:tcBorders>
            <w:shd w:val="clear" w:color="000000" w:fill="DBE4ED"/>
          </w:tcPr>
          <w:p w14:paraId="49190EFC" w14:textId="7711D569" w:rsidR="00A465CE" w:rsidRPr="003506E5" w:rsidRDefault="00A465CE" w:rsidP="002A12CE">
            <w:pPr>
              <w:spacing w:after="0" w:line="240" w:lineRule="auto"/>
              <w:jc w:val="center"/>
              <w:rPr>
                <w:rFonts w:eastAsia="Times New Roman"/>
                <w:color w:val="000000"/>
                <w:sz w:val="20"/>
                <w:szCs w:val="20"/>
                <w:lang w:eastAsia="en-US"/>
              </w:rPr>
            </w:pPr>
            <w:r>
              <w:rPr>
                <w:rFonts w:eastAsia="Times New Roman"/>
                <w:color w:val="000000"/>
                <w:sz w:val="20"/>
                <w:szCs w:val="20"/>
                <w:lang w:eastAsia="en-US"/>
              </w:rPr>
              <w:t>1.5</w:t>
            </w:r>
          </w:p>
        </w:tc>
      </w:tr>
      <w:tr w:rsidR="00A465CE" w:rsidRPr="003506E5" w14:paraId="3E0F14E2" w14:textId="6160BB8D" w:rsidTr="00A465CE">
        <w:trPr>
          <w:trHeight w:val="288"/>
        </w:trPr>
        <w:tc>
          <w:tcPr>
            <w:tcW w:w="3707" w:type="dxa"/>
            <w:tcBorders>
              <w:top w:val="nil"/>
              <w:left w:val="single" w:sz="8" w:space="0" w:color="45A7E1"/>
              <w:bottom w:val="single" w:sz="8" w:space="0" w:color="45A7E1"/>
              <w:right w:val="single" w:sz="8" w:space="0" w:color="45A7E1"/>
            </w:tcBorders>
            <w:shd w:val="clear" w:color="000000" w:fill="DBE4ED"/>
            <w:vAlign w:val="center"/>
            <w:hideMark/>
          </w:tcPr>
          <w:p w14:paraId="2838101C" w14:textId="77777777" w:rsidR="00A465CE" w:rsidRPr="003506E5" w:rsidRDefault="00A465CE" w:rsidP="002A12CE">
            <w:pPr>
              <w:spacing w:after="0" w:line="240" w:lineRule="auto"/>
              <w:rPr>
                <w:rFonts w:eastAsia="Times New Roman"/>
                <w:b/>
                <w:bCs/>
                <w:color w:val="0B1F51"/>
                <w:sz w:val="20"/>
                <w:szCs w:val="20"/>
                <w:lang w:eastAsia="en-US"/>
              </w:rPr>
            </w:pPr>
            <w:r w:rsidRPr="003506E5">
              <w:rPr>
                <w:rFonts w:eastAsia="Times New Roman"/>
                <w:b/>
                <w:bCs/>
                <w:color w:val="0B1F51"/>
                <w:sz w:val="20"/>
                <w:szCs w:val="20"/>
                <w:lang w:eastAsia="en-US"/>
              </w:rPr>
              <w:t>Family Health Hospital</w:t>
            </w:r>
          </w:p>
        </w:tc>
        <w:tc>
          <w:tcPr>
            <w:tcW w:w="1484" w:type="dxa"/>
            <w:tcBorders>
              <w:top w:val="nil"/>
              <w:left w:val="nil"/>
              <w:bottom w:val="single" w:sz="8" w:space="0" w:color="45A7E1"/>
              <w:right w:val="single" w:sz="8" w:space="0" w:color="45A7E1"/>
            </w:tcBorders>
            <w:shd w:val="clear" w:color="000000" w:fill="DBE4ED"/>
            <w:vAlign w:val="center"/>
          </w:tcPr>
          <w:p w14:paraId="09CED1F9" w14:textId="0DDD21B5" w:rsidR="00A465CE" w:rsidRPr="003506E5" w:rsidRDefault="00A465CE" w:rsidP="002A12CE">
            <w:pPr>
              <w:spacing w:after="0" w:line="240" w:lineRule="auto"/>
              <w:jc w:val="center"/>
              <w:rPr>
                <w:rFonts w:eastAsia="Times New Roman"/>
                <w:color w:val="000000"/>
                <w:sz w:val="20"/>
                <w:szCs w:val="20"/>
                <w:lang w:eastAsia="en-US"/>
              </w:rPr>
            </w:pPr>
            <w:r>
              <w:rPr>
                <w:rFonts w:eastAsia="Times New Roman"/>
                <w:color w:val="000000"/>
                <w:sz w:val="20"/>
                <w:szCs w:val="20"/>
                <w:lang w:eastAsia="en-US"/>
              </w:rPr>
              <w:t>1.0</w:t>
            </w:r>
          </w:p>
        </w:tc>
        <w:tc>
          <w:tcPr>
            <w:tcW w:w="1428" w:type="dxa"/>
            <w:tcBorders>
              <w:top w:val="nil"/>
              <w:left w:val="nil"/>
              <w:bottom w:val="single" w:sz="8" w:space="0" w:color="45A7E1"/>
              <w:right w:val="single" w:sz="8" w:space="0" w:color="45A7E1"/>
            </w:tcBorders>
            <w:shd w:val="clear" w:color="000000" w:fill="DBE4ED"/>
            <w:vAlign w:val="center"/>
          </w:tcPr>
          <w:p w14:paraId="5E5A0217" w14:textId="7C03239F" w:rsidR="00A465CE" w:rsidRPr="003506E5" w:rsidRDefault="00A465CE" w:rsidP="002A12CE">
            <w:pPr>
              <w:spacing w:after="0" w:line="240" w:lineRule="auto"/>
              <w:jc w:val="center"/>
              <w:rPr>
                <w:rFonts w:eastAsia="Times New Roman"/>
                <w:color w:val="000000"/>
                <w:sz w:val="20"/>
                <w:szCs w:val="20"/>
                <w:lang w:eastAsia="en-US"/>
              </w:rPr>
            </w:pPr>
            <w:r>
              <w:rPr>
                <w:rFonts w:eastAsia="Times New Roman"/>
                <w:color w:val="000000"/>
                <w:sz w:val="20"/>
                <w:szCs w:val="20"/>
                <w:lang w:eastAsia="en-US"/>
              </w:rPr>
              <w:t>1.3</w:t>
            </w:r>
          </w:p>
        </w:tc>
        <w:tc>
          <w:tcPr>
            <w:tcW w:w="1741" w:type="dxa"/>
            <w:tcBorders>
              <w:top w:val="nil"/>
              <w:left w:val="nil"/>
              <w:bottom w:val="single" w:sz="8" w:space="0" w:color="45A7E1"/>
              <w:right w:val="single" w:sz="8" w:space="0" w:color="45A7E1"/>
            </w:tcBorders>
            <w:shd w:val="clear" w:color="000000" w:fill="DBE4ED"/>
          </w:tcPr>
          <w:p w14:paraId="5708008A" w14:textId="40C6AC93" w:rsidR="00A465CE" w:rsidRPr="003506E5" w:rsidRDefault="00A465CE" w:rsidP="002A12CE">
            <w:pPr>
              <w:spacing w:after="0" w:line="240" w:lineRule="auto"/>
              <w:jc w:val="center"/>
              <w:rPr>
                <w:rFonts w:eastAsia="Times New Roman"/>
                <w:color w:val="000000"/>
                <w:sz w:val="20"/>
                <w:szCs w:val="20"/>
                <w:lang w:eastAsia="en-US"/>
              </w:rPr>
            </w:pPr>
            <w:r>
              <w:rPr>
                <w:rFonts w:eastAsia="Times New Roman"/>
                <w:color w:val="000000"/>
                <w:sz w:val="20"/>
                <w:szCs w:val="20"/>
                <w:lang w:eastAsia="en-US"/>
              </w:rPr>
              <w:t>1.3</w:t>
            </w:r>
          </w:p>
        </w:tc>
      </w:tr>
      <w:tr w:rsidR="00A465CE" w:rsidRPr="003506E5" w14:paraId="4065F58A" w14:textId="77777777" w:rsidTr="00A465CE">
        <w:trPr>
          <w:trHeight w:val="288"/>
        </w:trPr>
        <w:tc>
          <w:tcPr>
            <w:tcW w:w="3707" w:type="dxa"/>
            <w:tcBorders>
              <w:top w:val="nil"/>
              <w:left w:val="single" w:sz="8" w:space="0" w:color="45A7E1"/>
              <w:bottom w:val="single" w:sz="8" w:space="0" w:color="45A7E1"/>
              <w:right w:val="single" w:sz="8" w:space="0" w:color="45A7E1"/>
            </w:tcBorders>
            <w:shd w:val="clear" w:color="000000" w:fill="DBE4ED"/>
            <w:vAlign w:val="center"/>
          </w:tcPr>
          <w:p w14:paraId="53700FD1" w14:textId="230B01CB" w:rsidR="00A465CE" w:rsidRPr="003506E5" w:rsidRDefault="00A465CE" w:rsidP="002A12CE">
            <w:pPr>
              <w:spacing w:after="0" w:line="240" w:lineRule="auto"/>
              <w:rPr>
                <w:rFonts w:eastAsia="Times New Roman"/>
                <w:b/>
                <w:bCs/>
                <w:color w:val="0B1F51"/>
                <w:sz w:val="20"/>
                <w:szCs w:val="20"/>
                <w:lang w:eastAsia="en-US"/>
              </w:rPr>
            </w:pPr>
            <w:r>
              <w:rPr>
                <w:rFonts w:eastAsia="Times New Roman"/>
                <w:b/>
                <w:bCs/>
                <w:color w:val="0B1F51"/>
                <w:sz w:val="20"/>
                <w:szCs w:val="20"/>
                <w:lang w:eastAsia="en-US"/>
              </w:rPr>
              <w:t>CMH</w:t>
            </w:r>
          </w:p>
        </w:tc>
        <w:tc>
          <w:tcPr>
            <w:tcW w:w="1484" w:type="dxa"/>
            <w:tcBorders>
              <w:top w:val="nil"/>
              <w:left w:val="nil"/>
              <w:bottom w:val="single" w:sz="8" w:space="0" w:color="45A7E1"/>
              <w:right w:val="single" w:sz="8" w:space="0" w:color="45A7E1"/>
            </w:tcBorders>
            <w:shd w:val="clear" w:color="000000" w:fill="DBE4ED"/>
            <w:vAlign w:val="center"/>
          </w:tcPr>
          <w:p w14:paraId="0D1BAA9B" w14:textId="39227FF4" w:rsidR="00A465CE" w:rsidRDefault="00A465CE" w:rsidP="002A12CE">
            <w:pPr>
              <w:spacing w:after="0" w:line="240" w:lineRule="auto"/>
              <w:jc w:val="center"/>
              <w:rPr>
                <w:rFonts w:eastAsia="Times New Roman"/>
                <w:color w:val="000000"/>
                <w:sz w:val="20"/>
                <w:szCs w:val="20"/>
                <w:lang w:eastAsia="en-US"/>
              </w:rPr>
            </w:pPr>
            <w:r>
              <w:rPr>
                <w:rFonts w:eastAsia="Times New Roman"/>
                <w:color w:val="000000"/>
                <w:sz w:val="20"/>
                <w:szCs w:val="20"/>
                <w:lang w:eastAsia="en-US"/>
              </w:rPr>
              <w:t>-</w:t>
            </w:r>
          </w:p>
        </w:tc>
        <w:tc>
          <w:tcPr>
            <w:tcW w:w="1428" w:type="dxa"/>
            <w:tcBorders>
              <w:top w:val="nil"/>
              <w:left w:val="nil"/>
              <w:bottom w:val="single" w:sz="8" w:space="0" w:color="45A7E1"/>
              <w:right w:val="single" w:sz="8" w:space="0" w:color="45A7E1"/>
            </w:tcBorders>
            <w:shd w:val="clear" w:color="000000" w:fill="DBE4ED"/>
            <w:vAlign w:val="center"/>
          </w:tcPr>
          <w:p w14:paraId="796CC270" w14:textId="543E8566" w:rsidR="00A465CE" w:rsidRDefault="00A465CE" w:rsidP="002A12CE">
            <w:pPr>
              <w:spacing w:after="0" w:line="240" w:lineRule="auto"/>
              <w:jc w:val="center"/>
              <w:rPr>
                <w:rFonts w:eastAsia="Times New Roman"/>
                <w:color w:val="000000"/>
                <w:sz w:val="20"/>
                <w:szCs w:val="20"/>
                <w:lang w:eastAsia="en-US"/>
              </w:rPr>
            </w:pPr>
            <w:r>
              <w:rPr>
                <w:rFonts w:eastAsia="Times New Roman"/>
                <w:color w:val="000000"/>
                <w:sz w:val="20"/>
                <w:szCs w:val="20"/>
                <w:lang w:eastAsia="en-US"/>
              </w:rPr>
              <w:t>1.5</w:t>
            </w:r>
          </w:p>
        </w:tc>
        <w:tc>
          <w:tcPr>
            <w:tcW w:w="1741" w:type="dxa"/>
            <w:tcBorders>
              <w:top w:val="nil"/>
              <w:left w:val="nil"/>
              <w:bottom w:val="single" w:sz="8" w:space="0" w:color="45A7E1"/>
              <w:right w:val="single" w:sz="8" w:space="0" w:color="45A7E1"/>
            </w:tcBorders>
            <w:shd w:val="clear" w:color="000000" w:fill="DBE4ED"/>
          </w:tcPr>
          <w:p w14:paraId="5C6C437D" w14:textId="5A05465E" w:rsidR="00A465CE" w:rsidRDefault="00A465CE" w:rsidP="002A12CE">
            <w:pPr>
              <w:spacing w:after="0" w:line="240" w:lineRule="auto"/>
              <w:jc w:val="center"/>
              <w:rPr>
                <w:rFonts w:eastAsia="Times New Roman"/>
                <w:color w:val="000000"/>
                <w:sz w:val="20"/>
                <w:szCs w:val="20"/>
                <w:lang w:eastAsia="en-US"/>
              </w:rPr>
            </w:pPr>
            <w:r>
              <w:rPr>
                <w:rFonts w:eastAsia="Times New Roman"/>
                <w:color w:val="000000"/>
                <w:sz w:val="20"/>
                <w:szCs w:val="20"/>
                <w:lang w:eastAsia="en-US"/>
              </w:rPr>
              <w:t>1.5</w:t>
            </w:r>
          </w:p>
        </w:tc>
      </w:tr>
      <w:tr w:rsidR="00A465CE" w:rsidRPr="003506E5" w14:paraId="787B5FD7" w14:textId="690992AF" w:rsidTr="00A465CE">
        <w:trPr>
          <w:trHeight w:val="288"/>
        </w:trPr>
        <w:tc>
          <w:tcPr>
            <w:tcW w:w="3707" w:type="dxa"/>
            <w:tcBorders>
              <w:top w:val="nil"/>
              <w:left w:val="single" w:sz="8" w:space="0" w:color="45A7E1"/>
              <w:bottom w:val="single" w:sz="8" w:space="0" w:color="45A7E1"/>
              <w:right w:val="single" w:sz="8" w:space="0" w:color="45A7E1"/>
            </w:tcBorders>
            <w:shd w:val="clear" w:color="000000" w:fill="DBE4ED"/>
            <w:vAlign w:val="center"/>
            <w:hideMark/>
          </w:tcPr>
          <w:p w14:paraId="63A0E47C" w14:textId="77777777" w:rsidR="00A465CE" w:rsidRPr="003506E5" w:rsidRDefault="00A465CE" w:rsidP="002A12CE">
            <w:pPr>
              <w:spacing w:after="0" w:line="240" w:lineRule="auto"/>
              <w:rPr>
                <w:rFonts w:eastAsia="Times New Roman"/>
                <w:b/>
                <w:bCs/>
                <w:color w:val="0B1F51"/>
                <w:sz w:val="20"/>
                <w:szCs w:val="20"/>
                <w:lang w:eastAsia="en-US"/>
              </w:rPr>
            </w:pPr>
            <w:r w:rsidRPr="003506E5">
              <w:rPr>
                <w:rFonts w:eastAsia="Times New Roman"/>
                <w:b/>
                <w:bCs/>
                <w:color w:val="0B1F51"/>
                <w:sz w:val="20"/>
                <w:szCs w:val="20"/>
                <w:lang w:eastAsia="en-US"/>
              </w:rPr>
              <w:t>Overall Average</w:t>
            </w:r>
          </w:p>
        </w:tc>
        <w:tc>
          <w:tcPr>
            <w:tcW w:w="1484" w:type="dxa"/>
            <w:tcBorders>
              <w:top w:val="nil"/>
              <w:left w:val="nil"/>
              <w:bottom w:val="single" w:sz="8" w:space="0" w:color="45A7E1"/>
              <w:right w:val="single" w:sz="8" w:space="0" w:color="45A7E1"/>
            </w:tcBorders>
            <w:shd w:val="clear" w:color="000000" w:fill="DBE4ED"/>
            <w:vAlign w:val="center"/>
          </w:tcPr>
          <w:p w14:paraId="2E6A66B4" w14:textId="5A9F0503" w:rsidR="00A465CE" w:rsidRPr="003506E5" w:rsidRDefault="00A465CE" w:rsidP="002A12CE">
            <w:pPr>
              <w:spacing w:after="0" w:line="240" w:lineRule="auto"/>
              <w:jc w:val="center"/>
              <w:rPr>
                <w:rFonts w:eastAsia="Times New Roman"/>
                <w:b/>
                <w:bCs/>
                <w:color w:val="0B1F51"/>
                <w:sz w:val="20"/>
                <w:szCs w:val="20"/>
                <w:lang w:eastAsia="en-US"/>
              </w:rPr>
            </w:pPr>
            <w:r>
              <w:rPr>
                <w:rFonts w:eastAsia="Times New Roman"/>
                <w:b/>
                <w:bCs/>
                <w:color w:val="0B1F51"/>
                <w:sz w:val="20"/>
                <w:szCs w:val="20"/>
                <w:lang w:eastAsia="en-US"/>
              </w:rPr>
              <w:t>3.4</w:t>
            </w:r>
          </w:p>
        </w:tc>
        <w:tc>
          <w:tcPr>
            <w:tcW w:w="1428" w:type="dxa"/>
            <w:tcBorders>
              <w:top w:val="nil"/>
              <w:left w:val="nil"/>
              <w:bottom w:val="single" w:sz="8" w:space="0" w:color="45A7E1"/>
              <w:right w:val="single" w:sz="8" w:space="0" w:color="45A7E1"/>
            </w:tcBorders>
            <w:shd w:val="clear" w:color="000000" w:fill="DBE4ED"/>
            <w:vAlign w:val="center"/>
          </w:tcPr>
          <w:p w14:paraId="42F2D252" w14:textId="03205D4F" w:rsidR="00A465CE" w:rsidRPr="003506E5" w:rsidRDefault="00A465CE" w:rsidP="002A12CE">
            <w:pPr>
              <w:spacing w:after="0" w:line="240" w:lineRule="auto"/>
              <w:jc w:val="center"/>
              <w:rPr>
                <w:rFonts w:eastAsia="Times New Roman"/>
                <w:b/>
                <w:bCs/>
                <w:color w:val="0B1F51"/>
                <w:sz w:val="20"/>
                <w:szCs w:val="20"/>
                <w:lang w:eastAsia="en-US"/>
              </w:rPr>
            </w:pPr>
            <w:r>
              <w:rPr>
                <w:rFonts w:eastAsia="Times New Roman"/>
                <w:b/>
                <w:bCs/>
                <w:color w:val="0B1F51"/>
                <w:sz w:val="20"/>
                <w:szCs w:val="20"/>
                <w:lang w:eastAsia="en-US"/>
              </w:rPr>
              <w:t>2.3</w:t>
            </w:r>
          </w:p>
        </w:tc>
        <w:tc>
          <w:tcPr>
            <w:tcW w:w="1741" w:type="dxa"/>
            <w:tcBorders>
              <w:top w:val="nil"/>
              <w:left w:val="nil"/>
              <w:bottom w:val="single" w:sz="8" w:space="0" w:color="45A7E1"/>
              <w:right w:val="single" w:sz="8" w:space="0" w:color="45A7E1"/>
            </w:tcBorders>
            <w:shd w:val="clear" w:color="000000" w:fill="DBE4ED"/>
          </w:tcPr>
          <w:p w14:paraId="2F4D3AA3" w14:textId="0BD14576" w:rsidR="00A465CE" w:rsidRPr="003506E5" w:rsidRDefault="00A465CE" w:rsidP="002A12CE">
            <w:pPr>
              <w:spacing w:after="0" w:line="240" w:lineRule="auto"/>
              <w:jc w:val="center"/>
              <w:rPr>
                <w:rFonts w:eastAsia="Times New Roman"/>
                <w:b/>
                <w:bCs/>
                <w:color w:val="0B1F51"/>
                <w:sz w:val="20"/>
                <w:szCs w:val="20"/>
                <w:lang w:eastAsia="en-US"/>
              </w:rPr>
            </w:pPr>
            <w:r>
              <w:rPr>
                <w:rFonts w:eastAsia="Times New Roman"/>
                <w:b/>
                <w:bCs/>
                <w:color w:val="0B1F51"/>
                <w:sz w:val="20"/>
                <w:szCs w:val="20"/>
                <w:lang w:eastAsia="en-US"/>
              </w:rPr>
              <w:t>2.7</w:t>
            </w:r>
          </w:p>
        </w:tc>
      </w:tr>
    </w:tbl>
    <w:p w14:paraId="4269CC3F" w14:textId="77777777" w:rsidR="002A12CE" w:rsidRPr="003506E5" w:rsidRDefault="002A12CE" w:rsidP="005F5304">
      <w:pPr>
        <w:pStyle w:val="BodyText"/>
        <w:spacing w:after="0"/>
      </w:pPr>
    </w:p>
    <w:p w14:paraId="3448397B" w14:textId="63BAC027" w:rsidR="005F5304" w:rsidRPr="003506E5" w:rsidRDefault="005F5304" w:rsidP="00E52217">
      <w:pPr>
        <w:pStyle w:val="BodyText"/>
      </w:pPr>
      <w:r w:rsidRPr="003506E5">
        <w:t xml:space="preserve">The table above shows that the average length of stay for clients from eligible population was </w:t>
      </w:r>
      <w:r w:rsidR="00E52217">
        <w:t>3.4</w:t>
      </w:r>
      <w:r w:rsidRPr="003506E5">
        <w:t xml:space="preserve"> days, and patients from wider enrolment stayed for an average of 2</w:t>
      </w:r>
      <w:r w:rsidR="00E52217">
        <w:t>.3</w:t>
      </w:r>
      <w:r w:rsidRPr="003506E5">
        <w:t xml:space="preserve"> days.</w:t>
      </w:r>
    </w:p>
    <w:p w14:paraId="51D1EB3D" w14:textId="7A10F3BF" w:rsidR="005F5304" w:rsidRPr="003506E5" w:rsidRDefault="005F5304" w:rsidP="005F5304">
      <w:pPr>
        <w:pStyle w:val="Caption"/>
      </w:pPr>
      <w:bookmarkStart w:id="54" w:name="_Toc57215238"/>
      <w:r w:rsidRPr="003506E5">
        <w:t xml:space="preserve">Table </w:t>
      </w:r>
      <w:r w:rsidR="00B76041" w:rsidRPr="003506E5">
        <w:fldChar w:fldCharType="begin"/>
      </w:r>
      <w:r w:rsidRPr="003506E5">
        <w:instrText xml:space="preserve"> SEQ Table \* ARABIC </w:instrText>
      </w:r>
      <w:r w:rsidR="00B76041" w:rsidRPr="003506E5">
        <w:fldChar w:fldCharType="separate"/>
      </w:r>
      <w:r w:rsidR="00AE4FA0">
        <w:rPr>
          <w:noProof/>
        </w:rPr>
        <w:t>18</w:t>
      </w:r>
      <w:r w:rsidR="00B76041" w:rsidRPr="003506E5">
        <w:fldChar w:fldCharType="end"/>
      </w:r>
      <w:r w:rsidRPr="003506E5">
        <w:t>:</w:t>
      </w:r>
      <w:r w:rsidR="00EB1301" w:rsidRPr="003506E5">
        <w:t xml:space="preserve"> </w:t>
      </w:r>
      <w:r w:rsidRPr="003506E5">
        <w:t>Number of Admissions by Length of Stay by Type of Beneficiaries</w:t>
      </w:r>
      <w:bookmarkEnd w:id="54"/>
    </w:p>
    <w:tbl>
      <w:tblPr>
        <w:tblW w:w="9000" w:type="dxa"/>
        <w:tblLook w:val="04A0" w:firstRow="1" w:lastRow="0" w:firstColumn="1" w:lastColumn="0" w:noHBand="0" w:noVBand="1"/>
      </w:tblPr>
      <w:tblGrid>
        <w:gridCol w:w="2268"/>
        <w:gridCol w:w="1595"/>
        <w:gridCol w:w="1257"/>
        <w:gridCol w:w="1505"/>
        <w:gridCol w:w="2375"/>
      </w:tblGrid>
      <w:tr w:rsidR="00504B23" w:rsidRPr="003506E5" w14:paraId="1DBC7E63" w14:textId="77777777" w:rsidTr="00B72051">
        <w:trPr>
          <w:trHeight w:val="412"/>
        </w:trPr>
        <w:tc>
          <w:tcPr>
            <w:tcW w:w="2268" w:type="dxa"/>
            <w:tcBorders>
              <w:top w:val="single" w:sz="8" w:space="0" w:color="45A7E1"/>
              <w:left w:val="single" w:sz="8" w:space="0" w:color="45A7E1"/>
              <w:bottom w:val="single" w:sz="8" w:space="0" w:color="45A7E1"/>
              <w:right w:val="single" w:sz="8" w:space="0" w:color="45A7E1"/>
            </w:tcBorders>
            <w:shd w:val="clear" w:color="000000" w:fill="0B1F51"/>
            <w:noWrap/>
            <w:vAlign w:val="center"/>
            <w:hideMark/>
          </w:tcPr>
          <w:p w14:paraId="677918E0" w14:textId="77777777" w:rsidR="004A43D4" w:rsidRPr="003506E5" w:rsidRDefault="004A43D4" w:rsidP="004A43D4">
            <w:pPr>
              <w:spacing w:after="0" w:line="240" w:lineRule="auto"/>
              <w:jc w:val="both"/>
              <w:rPr>
                <w:rFonts w:eastAsia="Times New Roman"/>
                <w:b/>
                <w:bCs/>
                <w:color w:val="FFFFFF"/>
                <w:sz w:val="20"/>
                <w:szCs w:val="20"/>
                <w:lang w:eastAsia="en-US"/>
              </w:rPr>
            </w:pPr>
            <w:r w:rsidRPr="003506E5">
              <w:rPr>
                <w:rFonts w:eastAsia="Times New Roman"/>
                <w:b/>
                <w:bCs/>
                <w:color w:val="FFFFFF" w:themeColor="background1"/>
                <w:sz w:val="20"/>
                <w:szCs w:val="20"/>
                <w:lang w:eastAsia="en-US"/>
              </w:rPr>
              <w:t>Length of stay</w:t>
            </w:r>
          </w:p>
        </w:tc>
        <w:tc>
          <w:tcPr>
            <w:tcW w:w="1595" w:type="dxa"/>
            <w:tcBorders>
              <w:top w:val="single" w:sz="8" w:space="0" w:color="45A7E1"/>
              <w:left w:val="nil"/>
              <w:bottom w:val="single" w:sz="8" w:space="0" w:color="45A7E1"/>
              <w:right w:val="single" w:sz="8" w:space="0" w:color="45A7E1"/>
            </w:tcBorders>
            <w:shd w:val="clear" w:color="000000" w:fill="0B1F51"/>
            <w:noWrap/>
            <w:vAlign w:val="center"/>
            <w:hideMark/>
          </w:tcPr>
          <w:p w14:paraId="2BBC3A25" w14:textId="77777777" w:rsidR="004A43D4" w:rsidRPr="003506E5" w:rsidRDefault="004A43D4" w:rsidP="004A43D4">
            <w:pPr>
              <w:spacing w:after="0" w:line="240" w:lineRule="auto"/>
              <w:jc w:val="center"/>
              <w:rPr>
                <w:rFonts w:eastAsia="Times New Roman"/>
                <w:b/>
                <w:bCs/>
                <w:color w:val="FFFFFF"/>
                <w:sz w:val="20"/>
                <w:szCs w:val="20"/>
                <w:lang w:eastAsia="en-US"/>
              </w:rPr>
            </w:pPr>
            <w:r w:rsidRPr="003506E5">
              <w:rPr>
                <w:rFonts w:eastAsia="Times New Roman"/>
                <w:b/>
                <w:bCs/>
                <w:color w:val="FFFFFF" w:themeColor="background1"/>
                <w:sz w:val="20"/>
                <w:szCs w:val="20"/>
                <w:lang w:eastAsia="en-US"/>
              </w:rPr>
              <w:t>Eligible</w:t>
            </w:r>
          </w:p>
        </w:tc>
        <w:tc>
          <w:tcPr>
            <w:tcW w:w="1257" w:type="dxa"/>
            <w:tcBorders>
              <w:top w:val="single" w:sz="8" w:space="0" w:color="45A7E1"/>
              <w:left w:val="nil"/>
              <w:bottom w:val="single" w:sz="8" w:space="0" w:color="45A7E1"/>
              <w:right w:val="single" w:sz="8" w:space="0" w:color="45A7E1"/>
            </w:tcBorders>
            <w:shd w:val="clear" w:color="000000" w:fill="0B1F51"/>
            <w:noWrap/>
            <w:vAlign w:val="center"/>
            <w:hideMark/>
          </w:tcPr>
          <w:p w14:paraId="6F0F5F13" w14:textId="77777777" w:rsidR="004A43D4" w:rsidRPr="003506E5" w:rsidRDefault="004A43D4" w:rsidP="004A43D4">
            <w:pPr>
              <w:spacing w:after="0" w:line="240" w:lineRule="auto"/>
              <w:jc w:val="center"/>
              <w:rPr>
                <w:rFonts w:eastAsia="Times New Roman"/>
                <w:b/>
                <w:bCs/>
                <w:color w:val="FFFFFF"/>
                <w:sz w:val="20"/>
                <w:szCs w:val="20"/>
                <w:lang w:eastAsia="en-US"/>
              </w:rPr>
            </w:pPr>
            <w:r w:rsidRPr="003506E5">
              <w:rPr>
                <w:rFonts w:eastAsia="Times New Roman"/>
                <w:b/>
                <w:bCs/>
                <w:color w:val="FFFFFF" w:themeColor="background1"/>
                <w:sz w:val="20"/>
                <w:szCs w:val="20"/>
                <w:lang w:eastAsia="en-US"/>
              </w:rPr>
              <w:t>Wider</w:t>
            </w:r>
          </w:p>
        </w:tc>
        <w:tc>
          <w:tcPr>
            <w:tcW w:w="1505" w:type="dxa"/>
            <w:tcBorders>
              <w:top w:val="single" w:sz="8" w:space="0" w:color="45A7E1"/>
              <w:left w:val="nil"/>
              <w:bottom w:val="single" w:sz="8" w:space="0" w:color="45A7E1"/>
              <w:right w:val="single" w:sz="8" w:space="0" w:color="45A7E1"/>
            </w:tcBorders>
            <w:shd w:val="clear" w:color="000000" w:fill="0B1F51"/>
            <w:noWrap/>
            <w:vAlign w:val="center"/>
            <w:hideMark/>
          </w:tcPr>
          <w:p w14:paraId="3BBF609A" w14:textId="77777777" w:rsidR="004A43D4" w:rsidRPr="003506E5" w:rsidRDefault="004A43D4" w:rsidP="004A43D4">
            <w:pPr>
              <w:spacing w:after="0" w:line="240" w:lineRule="auto"/>
              <w:jc w:val="center"/>
              <w:rPr>
                <w:rFonts w:eastAsia="Times New Roman"/>
                <w:b/>
                <w:bCs/>
                <w:color w:val="FFFFFF"/>
                <w:sz w:val="20"/>
                <w:szCs w:val="20"/>
                <w:lang w:eastAsia="en-US"/>
              </w:rPr>
            </w:pPr>
            <w:r w:rsidRPr="003506E5">
              <w:rPr>
                <w:rFonts w:eastAsia="Times New Roman"/>
                <w:b/>
                <w:bCs/>
                <w:color w:val="FFFFFF" w:themeColor="background1"/>
                <w:sz w:val="20"/>
                <w:szCs w:val="20"/>
                <w:lang w:eastAsia="en-US"/>
              </w:rPr>
              <w:t>Total</w:t>
            </w:r>
          </w:p>
        </w:tc>
        <w:tc>
          <w:tcPr>
            <w:tcW w:w="2375" w:type="dxa"/>
            <w:tcBorders>
              <w:top w:val="single" w:sz="8" w:space="0" w:color="45A7E1"/>
              <w:left w:val="nil"/>
              <w:bottom w:val="single" w:sz="8" w:space="0" w:color="45A7E1"/>
              <w:right w:val="single" w:sz="8" w:space="0" w:color="45A7E1"/>
            </w:tcBorders>
            <w:shd w:val="clear" w:color="000000" w:fill="0B1F51"/>
            <w:noWrap/>
            <w:vAlign w:val="center"/>
            <w:hideMark/>
          </w:tcPr>
          <w:p w14:paraId="37E9C1CC" w14:textId="77777777" w:rsidR="004A43D4" w:rsidRPr="003506E5" w:rsidRDefault="004A43D4" w:rsidP="004A43D4">
            <w:pPr>
              <w:spacing w:after="0" w:line="240" w:lineRule="auto"/>
              <w:jc w:val="center"/>
              <w:rPr>
                <w:rFonts w:eastAsia="Times New Roman"/>
                <w:b/>
                <w:bCs/>
                <w:color w:val="FFFFFF"/>
                <w:sz w:val="20"/>
                <w:szCs w:val="20"/>
                <w:lang w:eastAsia="en-US"/>
              </w:rPr>
            </w:pPr>
            <w:r w:rsidRPr="003506E5">
              <w:rPr>
                <w:rFonts w:eastAsia="Times New Roman"/>
                <w:b/>
                <w:bCs/>
                <w:color w:val="FFFFFF" w:themeColor="background1"/>
                <w:sz w:val="20"/>
                <w:szCs w:val="20"/>
                <w:lang w:eastAsia="en-US"/>
              </w:rPr>
              <w:t>Percentage</w:t>
            </w:r>
          </w:p>
        </w:tc>
      </w:tr>
      <w:tr w:rsidR="00E52217" w:rsidRPr="003506E5" w14:paraId="42530246" w14:textId="77777777" w:rsidTr="00B72051">
        <w:trPr>
          <w:trHeight w:val="288"/>
        </w:trPr>
        <w:tc>
          <w:tcPr>
            <w:tcW w:w="2268" w:type="dxa"/>
            <w:tcBorders>
              <w:top w:val="nil"/>
              <w:left w:val="single" w:sz="8" w:space="0" w:color="45A7E1"/>
              <w:bottom w:val="single" w:sz="8" w:space="0" w:color="45A7E1"/>
              <w:right w:val="single" w:sz="8" w:space="0" w:color="45A7E1"/>
            </w:tcBorders>
            <w:shd w:val="clear" w:color="000000" w:fill="DBE4ED"/>
            <w:noWrap/>
            <w:vAlign w:val="center"/>
            <w:hideMark/>
          </w:tcPr>
          <w:p w14:paraId="6349562F" w14:textId="77777777" w:rsidR="00E52217" w:rsidRPr="003506E5" w:rsidRDefault="00E52217" w:rsidP="00E52217">
            <w:pPr>
              <w:spacing w:after="0" w:line="240" w:lineRule="auto"/>
              <w:jc w:val="both"/>
              <w:rPr>
                <w:rFonts w:eastAsia="Times New Roman"/>
                <w:b/>
                <w:bCs/>
                <w:color w:val="0B1F51"/>
                <w:sz w:val="20"/>
                <w:szCs w:val="20"/>
                <w:lang w:eastAsia="en-US"/>
              </w:rPr>
            </w:pPr>
            <w:r w:rsidRPr="003506E5">
              <w:rPr>
                <w:rFonts w:eastAsia="Times New Roman"/>
                <w:b/>
                <w:bCs/>
                <w:color w:val="0B1F51"/>
                <w:sz w:val="20"/>
                <w:szCs w:val="20"/>
                <w:lang w:eastAsia="en-US"/>
              </w:rPr>
              <w:t>1 day</w:t>
            </w:r>
          </w:p>
        </w:tc>
        <w:tc>
          <w:tcPr>
            <w:tcW w:w="1595" w:type="dxa"/>
            <w:tcBorders>
              <w:top w:val="nil"/>
              <w:left w:val="nil"/>
              <w:bottom w:val="single" w:sz="8" w:space="0" w:color="45A7E1"/>
              <w:right w:val="single" w:sz="8" w:space="0" w:color="45A7E1"/>
            </w:tcBorders>
            <w:shd w:val="clear" w:color="000000" w:fill="DBE4ED"/>
            <w:noWrap/>
            <w:vAlign w:val="center"/>
            <w:hideMark/>
          </w:tcPr>
          <w:p w14:paraId="0F7C2816" w14:textId="48887A49" w:rsidR="00E52217" w:rsidRPr="003506E5" w:rsidRDefault="00E52217" w:rsidP="00E52217">
            <w:pPr>
              <w:spacing w:after="0" w:line="240" w:lineRule="auto"/>
              <w:jc w:val="center"/>
              <w:rPr>
                <w:rFonts w:eastAsia="Times New Roman"/>
                <w:color w:val="000000"/>
                <w:sz w:val="20"/>
                <w:szCs w:val="20"/>
                <w:lang w:eastAsia="en-US"/>
              </w:rPr>
            </w:pPr>
            <w:r>
              <w:rPr>
                <w:color w:val="000000"/>
                <w:sz w:val="20"/>
                <w:szCs w:val="20"/>
              </w:rPr>
              <w:t>28</w:t>
            </w:r>
          </w:p>
        </w:tc>
        <w:tc>
          <w:tcPr>
            <w:tcW w:w="1257" w:type="dxa"/>
            <w:tcBorders>
              <w:top w:val="nil"/>
              <w:left w:val="nil"/>
              <w:bottom w:val="single" w:sz="8" w:space="0" w:color="45A7E1"/>
              <w:right w:val="single" w:sz="8" w:space="0" w:color="45A7E1"/>
            </w:tcBorders>
            <w:shd w:val="clear" w:color="000000" w:fill="DBE4ED"/>
            <w:noWrap/>
            <w:vAlign w:val="center"/>
            <w:hideMark/>
          </w:tcPr>
          <w:p w14:paraId="291A93C2" w14:textId="3517710E" w:rsidR="00E52217" w:rsidRPr="003506E5" w:rsidRDefault="00E52217" w:rsidP="00E52217">
            <w:pPr>
              <w:spacing w:after="0" w:line="240" w:lineRule="auto"/>
              <w:jc w:val="center"/>
              <w:rPr>
                <w:rFonts w:eastAsia="Times New Roman"/>
                <w:color w:val="000000"/>
                <w:sz w:val="20"/>
                <w:szCs w:val="20"/>
                <w:lang w:eastAsia="en-US"/>
              </w:rPr>
            </w:pPr>
            <w:r>
              <w:rPr>
                <w:color w:val="000000"/>
                <w:sz w:val="20"/>
                <w:szCs w:val="20"/>
              </w:rPr>
              <w:t>120</w:t>
            </w:r>
          </w:p>
        </w:tc>
        <w:tc>
          <w:tcPr>
            <w:tcW w:w="1505" w:type="dxa"/>
            <w:tcBorders>
              <w:top w:val="nil"/>
              <w:left w:val="nil"/>
              <w:bottom w:val="single" w:sz="8" w:space="0" w:color="45A7E1"/>
              <w:right w:val="single" w:sz="8" w:space="0" w:color="45A7E1"/>
            </w:tcBorders>
            <w:shd w:val="clear" w:color="000000" w:fill="DBE4ED"/>
            <w:noWrap/>
            <w:vAlign w:val="center"/>
            <w:hideMark/>
          </w:tcPr>
          <w:p w14:paraId="7BA3430E" w14:textId="701D89C8" w:rsidR="00E52217" w:rsidRPr="003506E5" w:rsidRDefault="00E52217" w:rsidP="00E52217">
            <w:pPr>
              <w:spacing w:after="0" w:line="240" w:lineRule="auto"/>
              <w:jc w:val="center"/>
              <w:rPr>
                <w:rFonts w:eastAsia="Times New Roman"/>
                <w:color w:val="000000"/>
                <w:sz w:val="20"/>
                <w:szCs w:val="20"/>
                <w:lang w:eastAsia="en-US"/>
              </w:rPr>
            </w:pPr>
            <w:r>
              <w:rPr>
                <w:color w:val="000000"/>
                <w:sz w:val="20"/>
                <w:szCs w:val="20"/>
              </w:rPr>
              <w:t>148</w:t>
            </w:r>
          </w:p>
        </w:tc>
        <w:tc>
          <w:tcPr>
            <w:tcW w:w="2375" w:type="dxa"/>
            <w:tcBorders>
              <w:top w:val="nil"/>
              <w:left w:val="nil"/>
              <w:bottom w:val="single" w:sz="8" w:space="0" w:color="45A7E1"/>
              <w:right w:val="single" w:sz="8" w:space="0" w:color="45A7E1"/>
            </w:tcBorders>
            <w:shd w:val="clear" w:color="000000" w:fill="DBE4ED"/>
            <w:noWrap/>
            <w:vAlign w:val="center"/>
            <w:hideMark/>
          </w:tcPr>
          <w:p w14:paraId="41505829" w14:textId="6537A687" w:rsidR="00E52217" w:rsidRPr="003506E5" w:rsidRDefault="00E52217" w:rsidP="00E52217">
            <w:pPr>
              <w:spacing w:after="0" w:line="240" w:lineRule="auto"/>
              <w:jc w:val="center"/>
              <w:rPr>
                <w:rFonts w:eastAsia="Times New Roman"/>
                <w:color w:val="000000"/>
                <w:sz w:val="20"/>
                <w:szCs w:val="20"/>
                <w:lang w:eastAsia="en-US"/>
              </w:rPr>
            </w:pPr>
            <w:r>
              <w:rPr>
                <w:color w:val="000000"/>
                <w:sz w:val="20"/>
                <w:szCs w:val="20"/>
              </w:rPr>
              <w:t>27%</w:t>
            </w:r>
          </w:p>
        </w:tc>
      </w:tr>
      <w:tr w:rsidR="00E52217" w:rsidRPr="003506E5" w14:paraId="188D7865" w14:textId="77777777" w:rsidTr="00B72051">
        <w:trPr>
          <w:trHeight w:val="288"/>
        </w:trPr>
        <w:tc>
          <w:tcPr>
            <w:tcW w:w="2268" w:type="dxa"/>
            <w:tcBorders>
              <w:top w:val="nil"/>
              <w:left w:val="single" w:sz="8" w:space="0" w:color="45A7E1"/>
              <w:bottom w:val="single" w:sz="8" w:space="0" w:color="45A7E1"/>
              <w:right w:val="single" w:sz="8" w:space="0" w:color="45A7E1"/>
            </w:tcBorders>
            <w:shd w:val="clear" w:color="000000" w:fill="DBE4ED"/>
            <w:noWrap/>
            <w:vAlign w:val="center"/>
            <w:hideMark/>
          </w:tcPr>
          <w:p w14:paraId="058B080E" w14:textId="65339457" w:rsidR="00E52217" w:rsidRPr="003506E5" w:rsidRDefault="00E52217" w:rsidP="00E52217">
            <w:pPr>
              <w:spacing w:after="0" w:line="240" w:lineRule="auto"/>
              <w:jc w:val="both"/>
              <w:rPr>
                <w:rFonts w:eastAsia="Times New Roman"/>
                <w:b/>
                <w:bCs/>
                <w:color w:val="0B1F51"/>
                <w:sz w:val="20"/>
                <w:szCs w:val="20"/>
                <w:lang w:eastAsia="en-US"/>
              </w:rPr>
            </w:pPr>
            <w:r w:rsidRPr="003506E5">
              <w:rPr>
                <w:rFonts w:eastAsia="Times New Roman"/>
                <w:b/>
                <w:bCs/>
                <w:color w:val="0B1F51"/>
                <w:sz w:val="20"/>
                <w:szCs w:val="20"/>
                <w:lang w:eastAsia="en-US"/>
              </w:rPr>
              <w:t>2 days</w:t>
            </w:r>
          </w:p>
        </w:tc>
        <w:tc>
          <w:tcPr>
            <w:tcW w:w="1595" w:type="dxa"/>
            <w:tcBorders>
              <w:top w:val="nil"/>
              <w:left w:val="nil"/>
              <w:bottom w:val="single" w:sz="8" w:space="0" w:color="45A7E1"/>
              <w:right w:val="single" w:sz="8" w:space="0" w:color="45A7E1"/>
            </w:tcBorders>
            <w:shd w:val="clear" w:color="000000" w:fill="DBE4ED"/>
            <w:noWrap/>
            <w:vAlign w:val="center"/>
            <w:hideMark/>
          </w:tcPr>
          <w:p w14:paraId="41C0C5A5" w14:textId="4BF0B5A8" w:rsidR="00E52217" w:rsidRPr="003506E5" w:rsidRDefault="00E52217" w:rsidP="00E52217">
            <w:pPr>
              <w:spacing w:after="0" w:line="240" w:lineRule="auto"/>
              <w:jc w:val="center"/>
              <w:rPr>
                <w:rFonts w:eastAsia="Times New Roman"/>
                <w:color w:val="000000"/>
                <w:sz w:val="20"/>
                <w:szCs w:val="20"/>
                <w:lang w:eastAsia="en-US"/>
              </w:rPr>
            </w:pPr>
            <w:r>
              <w:rPr>
                <w:color w:val="000000"/>
                <w:sz w:val="20"/>
                <w:szCs w:val="20"/>
              </w:rPr>
              <w:t>60</w:t>
            </w:r>
          </w:p>
        </w:tc>
        <w:tc>
          <w:tcPr>
            <w:tcW w:w="1257" w:type="dxa"/>
            <w:tcBorders>
              <w:top w:val="nil"/>
              <w:left w:val="nil"/>
              <w:bottom w:val="single" w:sz="8" w:space="0" w:color="45A7E1"/>
              <w:right w:val="single" w:sz="8" w:space="0" w:color="45A7E1"/>
            </w:tcBorders>
            <w:shd w:val="clear" w:color="000000" w:fill="DBE4ED"/>
            <w:noWrap/>
            <w:vAlign w:val="center"/>
            <w:hideMark/>
          </w:tcPr>
          <w:p w14:paraId="1B6B2C80" w14:textId="7BC3FBBA" w:rsidR="00E52217" w:rsidRPr="003506E5" w:rsidRDefault="00E52217" w:rsidP="00E52217">
            <w:pPr>
              <w:spacing w:after="0" w:line="240" w:lineRule="auto"/>
              <w:jc w:val="center"/>
              <w:rPr>
                <w:rFonts w:eastAsia="Times New Roman"/>
                <w:color w:val="000000"/>
                <w:sz w:val="20"/>
                <w:szCs w:val="20"/>
                <w:lang w:eastAsia="en-US"/>
              </w:rPr>
            </w:pPr>
            <w:r>
              <w:rPr>
                <w:color w:val="000000"/>
                <w:sz w:val="20"/>
                <w:szCs w:val="20"/>
              </w:rPr>
              <w:t>118</w:t>
            </w:r>
          </w:p>
        </w:tc>
        <w:tc>
          <w:tcPr>
            <w:tcW w:w="1505" w:type="dxa"/>
            <w:tcBorders>
              <w:top w:val="nil"/>
              <w:left w:val="nil"/>
              <w:bottom w:val="single" w:sz="8" w:space="0" w:color="45A7E1"/>
              <w:right w:val="single" w:sz="8" w:space="0" w:color="45A7E1"/>
            </w:tcBorders>
            <w:shd w:val="clear" w:color="000000" w:fill="DBE4ED"/>
            <w:noWrap/>
            <w:vAlign w:val="center"/>
            <w:hideMark/>
          </w:tcPr>
          <w:p w14:paraId="7996F101" w14:textId="2A3BAB79" w:rsidR="00E52217" w:rsidRPr="003506E5" w:rsidRDefault="00E52217" w:rsidP="00E52217">
            <w:pPr>
              <w:spacing w:after="0" w:line="240" w:lineRule="auto"/>
              <w:jc w:val="center"/>
              <w:rPr>
                <w:rFonts w:eastAsia="Times New Roman"/>
                <w:color w:val="000000"/>
                <w:sz w:val="20"/>
                <w:szCs w:val="20"/>
                <w:lang w:eastAsia="en-US"/>
              </w:rPr>
            </w:pPr>
            <w:r>
              <w:rPr>
                <w:color w:val="000000"/>
                <w:sz w:val="20"/>
                <w:szCs w:val="20"/>
              </w:rPr>
              <w:t>178</w:t>
            </w:r>
          </w:p>
        </w:tc>
        <w:tc>
          <w:tcPr>
            <w:tcW w:w="2375" w:type="dxa"/>
            <w:tcBorders>
              <w:top w:val="nil"/>
              <w:left w:val="nil"/>
              <w:bottom w:val="single" w:sz="8" w:space="0" w:color="45A7E1"/>
              <w:right w:val="single" w:sz="8" w:space="0" w:color="45A7E1"/>
            </w:tcBorders>
            <w:shd w:val="clear" w:color="000000" w:fill="DBE4ED"/>
            <w:noWrap/>
            <w:vAlign w:val="center"/>
            <w:hideMark/>
          </w:tcPr>
          <w:p w14:paraId="2EA8B0A5" w14:textId="5967FA0C" w:rsidR="00E52217" w:rsidRPr="003506E5" w:rsidRDefault="00E52217" w:rsidP="00E52217">
            <w:pPr>
              <w:spacing w:after="0" w:line="240" w:lineRule="auto"/>
              <w:jc w:val="center"/>
              <w:rPr>
                <w:rFonts w:eastAsia="Times New Roman"/>
                <w:color w:val="000000"/>
                <w:sz w:val="20"/>
                <w:szCs w:val="20"/>
                <w:lang w:eastAsia="en-US"/>
              </w:rPr>
            </w:pPr>
            <w:r>
              <w:rPr>
                <w:color w:val="000000"/>
                <w:sz w:val="20"/>
                <w:szCs w:val="20"/>
              </w:rPr>
              <w:t>33%</w:t>
            </w:r>
          </w:p>
        </w:tc>
      </w:tr>
      <w:tr w:rsidR="00E52217" w:rsidRPr="003506E5" w14:paraId="4F4D4F4C" w14:textId="77777777" w:rsidTr="00B72051">
        <w:trPr>
          <w:trHeight w:val="288"/>
        </w:trPr>
        <w:tc>
          <w:tcPr>
            <w:tcW w:w="2268" w:type="dxa"/>
            <w:tcBorders>
              <w:top w:val="nil"/>
              <w:left w:val="single" w:sz="8" w:space="0" w:color="45A7E1"/>
              <w:bottom w:val="single" w:sz="8" w:space="0" w:color="45A7E1"/>
              <w:right w:val="single" w:sz="8" w:space="0" w:color="45A7E1"/>
            </w:tcBorders>
            <w:shd w:val="clear" w:color="000000" w:fill="DBE4ED"/>
            <w:noWrap/>
            <w:vAlign w:val="center"/>
            <w:hideMark/>
          </w:tcPr>
          <w:p w14:paraId="065074FD" w14:textId="18076ED5" w:rsidR="00E52217" w:rsidRPr="003506E5" w:rsidRDefault="00E52217" w:rsidP="00E52217">
            <w:pPr>
              <w:spacing w:after="0" w:line="240" w:lineRule="auto"/>
              <w:jc w:val="both"/>
              <w:rPr>
                <w:rFonts w:eastAsia="Times New Roman"/>
                <w:b/>
                <w:bCs/>
                <w:color w:val="0B1F51"/>
                <w:sz w:val="20"/>
                <w:szCs w:val="20"/>
                <w:lang w:eastAsia="en-US"/>
              </w:rPr>
            </w:pPr>
            <w:r>
              <w:rPr>
                <w:rFonts w:eastAsia="Times New Roman"/>
                <w:b/>
                <w:bCs/>
                <w:color w:val="0B1F51"/>
                <w:sz w:val="20"/>
                <w:szCs w:val="20"/>
                <w:lang w:eastAsia="en-US"/>
              </w:rPr>
              <w:t>3</w:t>
            </w:r>
            <w:r w:rsidRPr="003506E5">
              <w:rPr>
                <w:rFonts w:eastAsia="Times New Roman"/>
                <w:b/>
                <w:bCs/>
                <w:color w:val="0B1F51"/>
                <w:sz w:val="20"/>
                <w:szCs w:val="20"/>
                <w:lang w:eastAsia="en-US"/>
              </w:rPr>
              <w:t xml:space="preserve"> days</w:t>
            </w:r>
          </w:p>
        </w:tc>
        <w:tc>
          <w:tcPr>
            <w:tcW w:w="1595" w:type="dxa"/>
            <w:tcBorders>
              <w:top w:val="nil"/>
              <w:left w:val="nil"/>
              <w:bottom w:val="single" w:sz="8" w:space="0" w:color="45A7E1"/>
              <w:right w:val="single" w:sz="8" w:space="0" w:color="45A7E1"/>
            </w:tcBorders>
            <w:shd w:val="clear" w:color="000000" w:fill="DBE4ED"/>
            <w:noWrap/>
            <w:vAlign w:val="center"/>
            <w:hideMark/>
          </w:tcPr>
          <w:p w14:paraId="57A4CD86" w14:textId="1B50CAE5" w:rsidR="00E52217" w:rsidRPr="003506E5" w:rsidRDefault="00E52217" w:rsidP="00E52217">
            <w:pPr>
              <w:spacing w:after="0" w:line="240" w:lineRule="auto"/>
              <w:jc w:val="center"/>
              <w:rPr>
                <w:rFonts w:eastAsia="Times New Roman"/>
                <w:color w:val="000000"/>
                <w:sz w:val="20"/>
                <w:szCs w:val="20"/>
                <w:lang w:eastAsia="en-US"/>
              </w:rPr>
            </w:pPr>
            <w:r>
              <w:rPr>
                <w:color w:val="000000"/>
                <w:sz w:val="20"/>
                <w:szCs w:val="20"/>
              </w:rPr>
              <w:t>39</w:t>
            </w:r>
          </w:p>
        </w:tc>
        <w:tc>
          <w:tcPr>
            <w:tcW w:w="1257" w:type="dxa"/>
            <w:tcBorders>
              <w:top w:val="nil"/>
              <w:left w:val="nil"/>
              <w:bottom w:val="single" w:sz="8" w:space="0" w:color="45A7E1"/>
              <w:right w:val="single" w:sz="8" w:space="0" w:color="45A7E1"/>
            </w:tcBorders>
            <w:shd w:val="clear" w:color="000000" w:fill="DBE4ED"/>
            <w:noWrap/>
            <w:vAlign w:val="center"/>
            <w:hideMark/>
          </w:tcPr>
          <w:p w14:paraId="686D6FAF" w14:textId="4731F3F4" w:rsidR="00E52217" w:rsidRPr="003506E5" w:rsidRDefault="00E52217" w:rsidP="00E52217">
            <w:pPr>
              <w:spacing w:after="0" w:line="240" w:lineRule="auto"/>
              <w:jc w:val="center"/>
              <w:rPr>
                <w:rFonts w:eastAsia="Times New Roman"/>
                <w:color w:val="000000"/>
                <w:sz w:val="20"/>
                <w:szCs w:val="20"/>
                <w:lang w:eastAsia="en-US"/>
              </w:rPr>
            </w:pPr>
            <w:r>
              <w:rPr>
                <w:color w:val="000000"/>
                <w:sz w:val="20"/>
                <w:szCs w:val="20"/>
              </w:rPr>
              <w:t>64</w:t>
            </w:r>
          </w:p>
        </w:tc>
        <w:tc>
          <w:tcPr>
            <w:tcW w:w="1505" w:type="dxa"/>
            <w:tcBorders>
              <w:top w:val="nil"/>
              <w:left w:val="nil"/>
              <w:bottom w:val="single" w:sz="8" w:space="0" w:color="45A7E1"/>
              <w:right w:val="single" w:sz="8" w:space="0" w:color="45A7E1"/>
            </w:tcBorders>
            <w:shd w:val="clear" w:color="000000" w:fill="DBE4ED"/>
            <w:noWrap/>
            <w:vAlign w:val="center"/>
            <w:hideMark/>
          </w:tcPr>
          <w:p w14:paraId="49627CE4" w14:textId="62F809AD" w:rsidR="00E52217" w:rsidRPr="003506E5" w:rsidRDefault="00E52217" w:rsidP="00E52217">
            <w:pPr>
              <w:spacing w:after="0" w:line="240" w:lineRule="auto"/>
              <w:jc w:val="center"/>
              <w:rPr>
                <w:rFonts w:eastAsia="Times New Roman"/>
                <w:color w:val="000000"/>
                <w:sz w:val="20"/>
                <w:szCs w:val="20"/>
                <w:lang w:eastAsia="en-US"/>
              </w:rPr>
            </w:pPr>
            <w:r>
              <w:rPr>
                <w:color w:val="000000"/>
                <w:sz w:val="20"/>
                <w:szCs w:val="20"/>
              </w:rPr>
              <w:t>103</w:t>
            </w:r>
          </w:p>
        </w:tc>
        <w:tc>
          <w:tcPr>
            <w:tcW w:w="2375" w:type="dxa"/>
            <w:tcBorders>
              <w:top w:val="nil"/>
              <w:left w:val="nil"/>
              <w:bottom w:val="single" w:sz="8" w:space="0" w:color="45A7E1"/>
              <w:right w:val="single" w:sz="8" w:space="0" w:color="45A7E1"/>
            </w:tcBorders>
            <w:shd w:val="clear" w:color="000000" w:fill="DBE4ED"/>
            <w:noWrap/>
            <w:vAlign w:val="center"/>
            <w:hideMark/>
          </w:tcPr>
          <w:p w14:paraId="625E1B61" w14:textId="46F92E99" w:rsidR="00E52217" w:rsidRPr="003506E5" w:rsidRDefault="00E52217" w:rsidP="00E52217">
            <w:pPr>
              <w:spacing w:after="0" w:line="240" w:lineRule="auto"/>
              <w:jc w:val="center"/>
              <w:rPr>
                <w:rFonts w:eastAsia="Times New Roman"/>
                <w:color w:val="000000"/>
                <w:sz w:val="20"/>
                <w:szCs w:val="20"/>
                <w:lang w:eastAsia="en-US"/>
              </w:rPr>
            </w:pPr>
            <w:r>
              <w:rPr>
                <w:color w:val="000000"/>
                <w:sz w:val="20"/>
                <w:szCs w:val="20"/>
              </w:rPr>
              <w:t>19%</w:t>
            </w:r>
          </w:p>
        </w:tc>
      </w:tr>
      <w:tr w:rsidR="00E52217" w:rsidRPr="003506E5" w14:paraId="71FF48B0" w14:textId="77777777" w:rsidTr="00B72051">
        <w:trPr>
          <w:trHeight w:val="288"/>
        </w:trPr>
        <w:tc>
          <w:tcPr>
            <w:tcW w:w="2268" w:type="dxa"/>
            <w:tcBorders>
              <w:top w:val="nil"/>
              <w:left w:val="single" w:sz="8" w:space="0" w:color="45A7E1"/>
              <w:bottom w:val="single" w:sz="8" w:space="0" w:color="45A7E1"/>
              <w:right w:val="single" w:sz="8" w:space="0" w:color="45A7E1"/>
            </w:tcBorders>
            <w:shd w:val="clear" w:color="000000" w:fill="DBE4ED"/>
            <w:noWrap/>
            <w:vAlign w:val="center"/>
          </w:tcPr>
          <w:p w14:paraId="405BA914" w14:textId="1CC8A48A" w:rsidR="00E52217" w:rsidRDefault="00E52217" w:rsidP="00E52217">
            <w:pPr>
              <w:spacing w:after="0" w:line="240" w:lineRule="auto"/>
              <w:jc w:val="both"/>
              <w:rPr>
                <w:rFonts w:eastAsia="Times New Roman"/>
                <w:b/>
                <w:bCs/>
                <w:color w:val="0B1F51"/>
                <w:sz w:val="20"/>
                <w:szCs w:val="20"/>
                <w:lang w:eastAsia="en-US"/>
              </w:rPr>
            </w:pPr>
            <w:r>
              <w:rPr>
                <w:rFonts w:eastAsia="Times New Roman"/>
                <w:b/>
                <w:bCs/>
                <w:color w:val="0B1F51"/>
                <w:sz w:val="20"/>
                <w:szCs w:val="20"/>
                <w:lang w:eastAsia="en-US"/>
              </w:rPr>
              <w:t>4 days</w:t>
            </w:r>
          </w:p>
        </w:tc>
        <w:tc>
          <w:tcPr>
            <w:tcW w:w="1595" w:type="dxa"/>
            <w:tcBorders>
              <w:top w:val="nil"/>
              <w:left w:val="nil"/>
              <w:bottom w:val="single" w:sz="8" w:space="0" w:color="45A7E1"/>
              <w:right w:val="single" w:sz="8" w:space="0" w:color="45A7E1"/>
            </w:tcBorders>
            <w:shd w:val="clear" w:color="000000" w:fill="DBE4ED"/>
            <w:noWrap/>
            <w:vAlign w:val="center"/>
          </w:tcPr>
          <w:p w14:paraId="177230B2" w14:textId="607D734E" w:rsidR="00E52217" w:rsidRPr="003506E5" w:rsidRDefault="00E52217" w:rsidP="00E52217">
            <w:pPr>
              <w:spacing w:after="0" w:line="240" w:lineRule="auto"/>
              <w:jc w:val="center"/>
              <w:rPr>
                <w:rFonts w:eastAsia="Times New Roman"/>
                <w:sz w:val="20"/>
                <w:szCs w:val="20"/>
                <w:lang w:eastAsia="en-US"/>
              </w:rPr>
            </w:pPr>
            <w:r>
              <w:rPr>
                <w:color w:val="000000"/>
                <w:sz w:val="20"/>
                <w:szCs w:val="20"/>
              </w:rPr>
              <w:t>27</w:t>
            </w:r>
          </w:p>
        </w:tc>
        <w:tc>
          <w:tcPr>
            <w:tcW w:w="1257" w:type="dxa"/>
            <w:tcBorders>
              <w:top w:val="nil"/>
              <w:left w:val="nil"/>
              <w:bottom w:val="single" w:sz="8" w:space="0" w:color="45A7E1"/>
              <w:right w:val="single" w:sz="8" w:space="0" w:color="45A7E1"/>
            </w:tcBorders>
            <w:shd w:val="clear" w:color="000000" w:fill="DBE4ED"/>
            <w:noWrap/>
            <w:vAlign w:val="center"/>
          </w:tcPr>
          <w:p w14:paraId="12C2DAA2" w14:textId="47BD5B5D" w:rsidR="00E52217" w:rsidRPr="003506E5" w:rsidRDefault="00E52217" w:rsidP="00E52217">
            <w:pPr>
              <w:spacing w:after="0" w:line="240" w:lineRule="auto"/>
              <w:jc w:val="center"/>
              <w:rPr>
                <w:rFonts w:eastAsia="Times New Roman"/>
                <w:sz w:val="20"/>
                <w:szCs w:val="20"/>
                <w:lang w:eastAsia="en-US"/>
              </w:rPr>
            </w:pPr>
            <w:r>
              <w:rPr>
                <w:color w:val="000000"/>
                <w:sz w:val="20"/>
                <w:szCs w:val="20"/>
              </w:rPr>
              <w:t>29</w:t>
            </w:r>
          </w:p>
        </w:tc>
        <w:tc>
          <w:tcPr>
            <w:tcW w:w="1505" w:type="dxa"/>
            <w:tcBorders>
              <w:top w:val="nil"/>
              <w:left w:val="nil"/>
              <w:bottom w:val="single" w:sz="8" w:space="0" w:color="45A7E1"/>
              <w:right w:val="single" w:sz="8" w:space="0" w:color="45A7E1"/>
            </w:tcBorders>
            <w:shd w:val="clear" w:color="000000" w:fill="DBE4ED"/>
            <w:noWrap/>
            <w:vAlign w:val="center"/>
          </w:tcPr>
          <w:p w14:paraId="584A34A5" w14:textId="4666EB6E" w:rsidR="00E52217" w:rsidRPr="003506E5" w:rsidRDefault="00E52217" w:rsidP="00E52217">
            <w:pPr>
              <w:spacing w:after="0" w:line="240" w:lineRule="auto"/>
              <w:jc w:val="center"/>
              <w:rPr>
                <w:rFonts w:eastAsia="Times New Roman"/>
                <w:sz w:val="20"/>
                <w:szCs w:val="20"/>
                <w:lang w:eastAsia="en-US"/>
              </w:rPr>
            </w:pPr>
            <w:r>
              <w:rPr>
                <w:color w:val="000000"/>
                <w:sz w:val="20"/>
                <w:szCs w:val="20"/>
              </w:rPr>
              <w:t>56</w:t>
            </w:r>
          </w:p>
        </w:tc>
        <w:tc>
          <w:tcPr>
            <w:tcW w:w="2375" w:type="dxa"/>
            <w:tcBorders>
              <w:top w:val="nil"/>
              <w:left w:val="nil"/>
              <w:bottom w:val="single" w:sz="8" w:space="0" w:color="45A7E1"/>
              <w:right w:val="single" w:sz="8" w:space="0" w:color="45A7E1"/>
            </w:tcBorders>
            <w:shd w:val="clear" w:color="000000" w:fill="DBE4ED"/>
            <w:noWrap/>
            <w:vAlign w:val="center"/>
          </w:tcPr>
          <w:p w14:paraId="31D275D5" w14:textId="7562C355" w:rsidR="00E52217" w:rsidRPr="003506E5" w:rsidRDefault="00E52217" w:rsidP="00E52217">
            <w:pPr>
              <w:spacing w:after="0" w:line="240" w:lineRule="auto"/>
              <w:jc w:val="center"/>
              <w:rPr>
                <w:rFonts w:eastAsia="Times New Roman"/>
                <w:sz w:val="20"/>
                <w:szCs w:val="20"/>
                <w:lang w:eastAsia="en-US"/>
              </w:rPr>
            </w:pPr>
            <w:r>
              <w:rPr>
                <w:color w:val="000000"/>
                <w:sz w:val="20"/>
                <w:szCs w:val="20"/>
              </w:rPr>
              <w:t>10%</w:t>
            </w:r>
          </w:p>
        </w:tc>
      </w:tr>
      <w:tr w:rsidR="00E52217" w:rsidRPr="003506E5" w14:paraId="1910C84F" w14:textId="77777777" w:rsidTr="00B72051">
        <w:trPr>
          <w:trHeight w:val="288"/>
        </w:trPr>
        <w:tc>
          <w:tcPr>
            <w:tcW w:w="2268" w:type="dxa"/>
            <w:tcBorders>
              <w:top w:val="nil"/>
              <w:left w:val="single" w:sz="8" w:space="0" w:color="45A7E1"/>
              <w:bottom w:val="single" w:sz="8" w:space="0" w:color="45A7E1"/>
              <w:right w:val="single" w:sz="8" w:space="0" w:color="45A7E1"/>
            </w:tcBorders>
            <w:shd w:val="clear" w:color="000000" w:fill="DBE4ED"/>
            <w:noWrap/>
            <w:vAlign w:val="center"/>
            <w:hideMark/>
          </w:tcPr>
          <w:p w14:paraId="63E80880" w14:textId="58616A79" w:rsidR="00E52217" w:rsidRPr="003506E5" w:rsidRDefault="00E52217" w:rsidP="00E52217">
            <w:pPr>
              <w:spacing w:after="0" w:line="240" w:lineRule="auto"/>
              <w:jc w:val="both"/>
              <w:rPr>
                <w:rFonts w:eastAsia="Times New Roman"/>
                <w:b/>
                <w:bCs/>
                <w:color w:val="0B1F51"/>
                <w:sz w:val="20"/>
                <w:szCs w:val="20"/>
                <w:lang w:eastAsia="en-US"/>
              </w:rPr>
            </w:pPr>
            <w:r w:rsidRPr="003506E5">
              <w:rPr>
                <w:rFonts w:eastAsia="Times New Roman"/>
                <w:b/>
                <w:bCs/>
                <w:color w:val="0B1F51"/>
                <w:sz w:val="20"/>
                <w:szCs w:val="20"/>
                <w:lang w:eastAsia="en-US"/>
              </w:rPr>
              <w:t>5 days</w:t>
            </w:r>
            <w:r>
              <w:rPr>
                <w:rFonts w:eastAsia="Times New Roman"/>
                <w:b/>
                <w:bCs/>
                <w:color w:val="0B1F51"/>
                <w:sz w:val="20"/>
                <w:szCs w:val="20"/>
                <w:lang w:eastAsia="en-US"/>
              </w:rPr>
              <w:t xml:space="preserve"> or more</w:t>
            </w:r>
            <w:r w:rsidRPr="003506E5">
              <w:rPr>
                <w:rFonts w:eastAsia="Times New Roman"/>
                <w:b/>
                <w:bCs/>
                <w:color w:val="0B1F51"/>
                <w:sz w:val="20"/>
                <w:szCs w:val="20"/>
                <w:lang w:eastAsia="en-US"/>
              </w:rPr>
              <w:t xml:space="preserve"> </w:t>
            </w:r>
          </w:p>
        </w:tc>
        <w:tc>
          <w:tcPr>
            <w:tcW w:w="1595" w:type="dxa"/>
            <w:tcBorders>
              <w:top w:val="nil"/>
              <w:left w:val="nil"/>
              <w:bottom w:val="single" w:sz="8" w:space="0" w:color="45A7E1"/>
              <w:right w:val="single" w:sz="8" w:space="0" w:color="45A7E1"/>
            </w:tcBorders>
            <w:shd w:val="clear" w:color="000000" w:fill="DBE4ED"/>
            <w:noWrap/>
            <w:vAlign w:val="center"/>
            <w:hideMark/>
          </w:tcPr>
          <w:p w14:paraId="579AF3EF" w14:textId="571F199E" w:rsidR="00E52217" w:rsidRPr="003506E5" w:rsidRDefault="00E52217" w:rsidP="00E52217">
            <w:pPr>
              <w:spacing w:after="0" w:line="240" w:lineRule="auto"/>
              <w:jc w:val="center"/>
              <w:rPr>
                <w:rFonts w:eastAsia="Times New Roman"/>
                <w:color w:val="000000"/>
                <w:sz w:val="20"/>
                <w:szCs w:val="20"/>
                <w:lang w:eastAsia="en-US"/>
              </w:rPr>
            </w:pPr>
            <w:r>
              <w:rPr>
                <w:color w:val="000000"/>
                <w:sz w:val="20"/>
                <w:szCs w:val="20"/>
              </w:rPr>
              <w:t>35</w:t>
            </w:r>
          </w:p>
        </w:tc>
        <w:tc>
          <w:tcPr>
            <w:tcW w:w="1257" w:type="dxa"/>
            <w:tcBorders>
              <w:top w:val="nil"/>
              <w:left w:val="nil"/>
              <w:bottom w:val="single" w:sz="8" w:space="0" w:color="45A7E1"/>
              <w:right w:val="single" w:sz="8" w:space="0" w:color="45A7E1"/>
            </w:tcBorders>
            <w:shd w:val="clear" w:color="000000" w:fill="DBE4ED"/>
            <w:noWrap/>
            <w:vAlign w:val="center"/>
            <w:hideMark/>
          </w:tcPr>
          <w:p w14:paraId="6E8D0511" w14:textId="6AAB9AA5" w:rsidR="00E52217" w:rsidRPr="003506E5" w:rsidRDefault="00E52217" w:rsidP="00E52217">
            <w:pPr>
              <w:spacing w:after="0" w:line="240" w:lineRule="auto"/>
              <w:jc w:val="center"/>
              <w:rPr>
                <w:rFonts w:eastAsia="Times New Roman"/>
                <w:color w:val="000000"/>
                <w:sz w:val="20"/>
                <w:szCs w:val="20"/>
                <w:lang w:eastAsia="en-US"/>
              </w:rPr>
            </w:pPr>
            <w:r>
              <w:rPr>
                <w:color w:val="000000"/>
                <w:sz w:val="20"/>
                <w:szCs w:val="20"/>
              </w:rPr>
              <w:t>21</w:t>
            </w:r>
          </w:p>
        </w:tc>
        <w:tc>
          <w:tcPr>
            <w:tcW w:w="1505" w:type="dxa"/>
            <w:tcBorders>
              <w:top w:val="nil"/>
              <w:left w:val="nil"/>
              <w:bottom w:val="single" w:sz="8" w:space="0" w:color="45A7E1"/>
              <w:right w:val="single" w:sz="8" w:space="0" w:color="45A7E1"/>
            </w:tcBorders>
            <w:shd w:val="clear" w:color="000000" w:fill="DBE4ED"/>
            <w:noWrap/>
            <w:vAlign w:val="center"/>
            <w:hideMark/>
          </w:tcPr>
          <w:p w14:paraId="330856EF" w14:textId="6597DE3A" w:rsidR="00E52217" w:rsidRPr="003506E5" w:rsidRDefault="00E52217" w:rsidP="00E52217">
            <w:pPr>
              <w:spacing w:after="0" w:line="240" w:lineRule="auto"/>
              <w:jc w:val="center"/>
              <w:rPr>
                <w:rFonts w:eastAsia="Times New Roman"/>
                <w:color w:val="000000"/>
                <w:sz w:val="20"/>
                <w:szCs w:val="20"/>
                <w:lang w:eastAsia="en-US"/>
              </w:rPr>
            </w:pPr>
            <w:r>
              <w:rPr>
                <w:color w:val="000000"/>
                <w:sz w:val="20"/>
                <w:szCs w:val="20"/>
              </w:rPr>
              <w:t>56</w:t>
            </w:r>
          </w:p>
        </w:tc>
        <w:tc>
          <w:tcPr>
            <w:tcW w:w="2375" w:type="dxa"/>
            <w:tcBorders>
              <w:top w:val="nil"/>
              <w:left w:val="nil"/>
              <w:bottom w:val="single" w:sz="8" w:space="0" w:color="45A7E1"/>
              <w:right w:val="single" w:sz="8" w:space="0" w:color="45A7E1"/>
            </w:tcBorders>
            <w:shd w:val="clear" w:color="000000" w:fill="DBE4ED"/>
            <w:noWrap/>
            <w:vAlign w:val="center"/>
            <w:hideMark/>
          </w:tcPr>
          <w:p w14:paraId="61FBEF1B" w14:textId="2E569621" w:rsidR="00E52217" w:rsidRPr="003506E5" w:rsidRDefault="00E52217" w:rsidP="00E52217">
            <w:pPr>
              <w:spacing w:after="0" w:line="240" w:lineRule="auto"/>
              <w:jc w:val="center"/>
              <w:rPr>
                <w:rFonts w:eastAsia="Times New Roman"/>
                <w:color w:val="000000"/>
                <w:sz w:val="20"/>
                <w:szCs w:val="20"/>
                <w:lang w:eastAsia="en-US"/>
              </w:rPr>
            </w:pPr>
            <w:r>
              <w:rPr>
                <w:color w:val="000000"/>
                <w:sz w:val="20"/>
                <w:szCs w:val="20"/>
              </w:rPr>
              <w:t>10%</w:t>
            </w:r>
          </w:p>
        </w:tc>
      </w:tr>
      <w:tr w:rsidR="00E52217" w:rsidRPr="003506E5" w14:paraId="66AAD0BC" w14:textId="77777777" w:rsidTr="00B72051">
        <w:trPr>
          <w:trHeight w:val="288"/>
        </w:trPr>
        <w:tc>
          <w:tcPr>
            <w:tcW w:w="2268" w:type="dxa"/>
            <w:tcBorders>
              <w:top w:val="nil"/>
              <w:left w:val="single" w:sz="8" w:space="0" w:color="45A7E1"/>
              <w:bottom w:val="single" w:sz="8" w:space="0" w:color="45A7E1"/>
              <w:right w:val="single" w:sz="8" w:space="0" w:color="45A7E1"/>
            </w:tcBorders>
            <w:shd w:val="clear" w:color="000000" w:fill="DBE4ED"/>
            <w:noWrap/>
            <w:vAlign w:val="center"/>
            <w:hideMark/>
          </w:tcPr>
          <w:p w14:paraId="33E14EF3" w14:textId="6D1F8132" w:rsidR="00E52217" w:rsidRPr="00E52217" w:rsidRDefault="00E52217" w:rsidP="00E52217">
            <w:pPr>
              <w:spacing w:after="0" w:line="240" w:lineRule="auto"/>
              <w:jc w:val="both"/>
              <w:rPr>
                <w:rFonts w:eastAsia="Times New Roman"/>
                <w:b/>
                <w:bCs/>
                <w:i/>
                <w:iCs/>
                <w:color w:val="0B1F51"/>
                <w:sz w:val="20"/>
                <w:szCs w:val="20"/>
                <w:lang w:eastAsia="en-US"/>
              </w:rPr>
            </w:pPr>
            <w:r w:rsidRPr="00E52217">
              <w:rPr>
                <w:rFonts w:eastAsia="Times New Roman"/>
                <w:b/>
                <w:bCs/>
                <w:i/>
                <w:iCs/>
                <w:color w:val="0B1F51"/>
                <w:sz w:val="20"/>
                <w:szCs w:val="20"/>
                <w:lang w:eastAsia="en-US"/>
              </w:rPr>
              <w:t>Total Admissions</w:t>
            </w:r>
          </w:p>
        </w:tc>
        <w:tc>
          <w:tcPr>
            <w:tcW w:w="1595" w:type="dxa"/>
            <w:tcBorders>
              <w:top w:val="nil"/>
              <w:left w:val="nil"/>
              <w:bottom w:val="single" w:sz="8" w:space="0" w:color="45A7E1"/>
              <w:right w:val="single" w:sz="8" w:space="0" w:color="45A7E1"/>
            </w:tcBorders>
            <w:shd w:val="clear" w:color="000000" w:fill="DBE4ED"/>
            <w:noWrap/>
            <w:vAlign w:val="center"/>
            <w:hideMark/>
          </w:tcPr>
          <w:p w14:paraId="659E885B" w14:textId="4D5F7D1C" w:rsidR="00E52217" w:rsidRPr="00E52217" w:rsidRDefault="00E52217" w:rsidP="00E52217">
            <w:pPr>
              <w:spacing w:after="0" w:line="240" w:lineRule="auto"/>
              <w:jc w:val="center"/>
              <w:rPr>
                <w:rFonts w:eastAsia="Times New Roman"/>
                <w:b/>
                <w:bCs/>
                <w:i/>
                <w:iCs/>
                <w:color w:val="0B1F51"/>
                <w:sz w:val="20"/>
                <w:szCs w:val="20"/>
                <w:lang w:eastAsia="en-US"/>
              </w:rPr>
            </w:pPr>
            <w:r w:rsidRPr="00E52217">
              <w:rPr>
                <w:b/>
                <w:bCs/>
                <w:i/>
                <w:iCs/>
                <w:color w:val="0B1F51"/>
                <w:sz w:val="20"/>
                <w:szCs w:val="20"/>
              </w:rPr>
              <w:t>189</w:t>
            </w:r>
          </w:p>
        </w:tc>
        <w:tc>
          <w:tcPr>
            <w:tcW w:w="1257" w:type="dxa"/>
            <w:tcBorders>
              <w:top w:val="nil"/>
              <w:left w:val="nil"/>
              <w:bottom w:val="single" w:sz="8" w:space="0" w:color="45A7E1"/>
              <w:right w:val="single" w:sz="8" w:space="0" w:color="45A7E1"/>
            </w:tcBorders>
            <w:shd w:val="clear" w:color="000000" w:fill="DBE4ED"/>
            <w:noWrap/>
            <w:vAlign w:val="center"/>
            <w:hideMark/>
          </w:tcPr>
          <w:p w14:paraId="0DE20139" w14:textId="7B42DA82" w:rsidR="00E52217" w:rsidRPr="00E52217" w:rsidRDefault="00E52217" w:rsidP="00E52217">
            <w:pPr>
              <w:spacing w:after="0" w:line="240" w:lineRule="auto"/>
              <w:jc w:val="center"/>
              <w:rPr>
                <w:rFonts w:eastAsia="Times New Roman"/>
                <w:b/>
                <w:bCs/>
                <w:i/>
                <w:iCs/>
                <w:color w:val="0B1F51"/>
                <w:sz w:val="20"/>
                <w:szCs w:val="20"/>
                <w:lang w:eastAsia="en-US"/>
              </w:rPr>
            </w:pPr>
            <w:r w:rsidRPr="00E52217">
              <w:rPr>
                <w:b/>
                <w:bCs/>
                <w:i/>
                <w:iCs/>
                <w:color w:val="0B1F51"/>
                <w:sz w:val="20"/>
                <w:szCs w:val="20"/>
              </w:rPr>
              <w:t>352</w:t>
            </w:r>
          </w:p>
        </w:tc>
        <w:tc>
          <w:tcPr>
            <w:tcW w:w="1505" w:type="dxa"/>
            <w:tcBorders>
              <w:top w:val="nil"/>
              <w:left w:val="nil"/>
              <w:bottom w:val="single" w:sz="8" w:space="0" w:color="45A7E1"/>
              <w:right w:val="single" w:sz="8" w:space="0" w:color="45A7E1"/>
            </w:tcBorders>
            <w:shd w:val="clear" w:color="000000" w:fill="DBE4ED"/>
            <w:noWrap/>
            <w:vAlign w:val="center"/>
            <w:hideMark/>
          </w:tcPr>
          <w:p w14:paraId="3255AC58" w14:textId="0E8D1E4E" w:rsidR="00E52217" w:rsidRPr="00E52217" w:rsidRDefault="00E52217" w:rsidP="00E52217">
            <w:pPr>
              <w:spacing w:after="0" w:line="240" w:lineRule="auto"/>
              <w:jc w:val="center"/>
              <w:rPr>
                <w:rFonts w:eastAsia="Times New Roman"/>
                <w:b/>
                <w:bCs/>
                <w:i/>
                <w:iCs/>
                <w:color w:val="000000"/>
                <w:sz w:val="20"/>
                <w:szCs w:val="20"/>
                <w:lang w:eastAsia="en-US"/>
              </w:rPr>
            </w:pPr>
            <w:r w:rsidRPr="00E52217">
              <w:rPr>
                <w:b/>
                <w:bCs/>
                <w:i/>
                <w:iCs/>
                <w:color w:val="000000"/>
                <w:sz w:val="20"/>
                <w:szCs w:val="20"/>
              </w:rPr>
              <w:t>541</w:t>
            </w:r>
          </w:p>
        </w:tc>
        <w:tc>
          <w:tcPr>
            <w:tcW w:w="2375" w:type="dxa"/>
            <w:tcBorders>
              <w:top w:val="nil"/>
              <w:left w:val="nil"/>
              <w:bottom w:val="single" w:sz="8" w:space="0" w:color="45A7E1"/>
              <w:right w:val="single" w:sz="8" w:space="0" w:color="45A7E1"/>
            </w:tcBorders>
            <w:shd w:val="clear" w:color="000000" w:fill="DBE4ED"/>
            <w:noWrap/>
            <w:vAlign w:val="center"/>
            <w:hideMark/>
          </w:tcPr>
          <w:p w14:paraId="1BC16E22" w14:textId="0DA439A5" w:rsidR="00E52217" w:rsidRPr="00E52217" w:rsidRDefault="00E52217" w:rsidP="00E52217">
            <w:pPr>
              <w:spacing w:after="0" w:line="240" w:lineRule="auto"/>
              <w:jc w:val="center"/>
              <w:rPr>
                <w:rFonts w:eastAsia="Times New Roman"/>
                <w:b/>
                <w:bCs/>
                <w:i/>
                <w:iCs/>
                <w:color w:val="0B1F51"/>
                <w:sz w:val="20"/>
                <w:szCs w:val="20"/>
                <w:lang w:eastAsia="en-US"/>
              </w:rPr>
            </w:pPr>
            <w:r w:rsidRPr="00E52217">
              <w:rPr>
                <w:b/>
                <w:bCs/>
                <w:i/>
                <w:iCs/>
                <w:color w:val="0B1F51"/>
                <w:sz w:val="20"/>
                <w:szCs w:val="20"/>
              </w:rPr>
              <w:t> </w:t>
            </w:r>
          </w:p>
        </w:tc>
      </w:tr>
    </w:tbl>
    <w:p w14:paraId="670585CE" w14:textId="774BDFF2" w:rsidR="005F5304" w:rsidRPr="003506E5" w:rsidRDefault="005F5304" w:rsidP="0033062C">
      <w:pPr>
        <w:spacing w:before="100" w:beforeAutospacing="1" w:after="100" w:afterAutospacing="1" w:line="240" w:lineRule="auto"/>
      </w:pPr>
      <w:r w:rsidRPr="003506E5">
        <w:t>The following table gives the top ten diagnoses of one day admissions.</w:t>
      </w:r>
    </w:p>
    <w:p w14:paraId="2E1A8741" w14:textId="5A8E6FB6" w:rsidR="00846A29" w:rsidRPr="003506E5" w:rsidRDefault="00846A29" w:rsidP="00846A29">
      <w:pPr>
        <w:pStyle w:val="Caption"/>
      </w:pPr>
      <w:bookmarkStart w:id="55" w:name="_Toc57215239"/>
      <w:r w:rsidRPr="003506E5">
        <w:t xml:space="preserve">Table </w:t>
      </w:r>
      <w:r w:rsidR="00B76041" w:rsidRPr="003506E5">
        <w:fldChar w:fldCharType="begin"/>
      </w:r>
      <w:r w:rsidRPr="003506E5">
        <w:instrText xml:space="preserve"> SEQ Table \* ARABIC </w:instrText>
      </w:r>
      <w:r w:rsidR="00B76041" w:rsidRPr="003506E5">
        <w:fldChar w:fldCharType="separate"/>
      </w:r>
      <w:r w:rsidR="00AE4FA0">
        <w:rPr>
          <w:noProof/>
        </w:rPr>
        <w:t>19</w:t>
      </w:r>
      <w:r w:rsidR="00B76041" w:rsidRPr="003506E5">
        <w:fldChar w:fldCharType="end"/>
      </w:r>
      <w:r w:rsidRPr="003506E5">
        <w:t>: Top Ten Diagnoses of One Day Admissions</w:t>
      </w:r>
      <w:bookmarkEnd w:id="55"/>
    </w:p>
    <w:tbl>
      <w:tblPr>
        <w:tblW w:w="7100" w:type="dxa"/>
        <w:tblLook w:val="04A0" w:firstRow="1" w:lastRow="0" w:firstColumn="1" w:lastColumn="0" w:noHBand="0" w:noVBand="1"/>
      </w:tblPr>
      <w:tblGrid>
        <w:gridCol w:w="4700"/>
        <w:gridCol w:w="2400"/>
      </w:tblGrid>
      <w:tr w:rsidR="00E20503" w:rsidRPr="006C5712" w14:paraId="16E6D4D5" w14:textId="77777777" w:rsidTr="00E20503">
        <w:trPr>
          <w:trHeight w:val="300"/>
        </w:trPr>
        <w:tc>
          <w:tcPr>
            <w:tcW w:w="4700" w:type="dxa"/>
            <w:tcBorders>
              <w:top w:val="single" w:sz="8" w:space="0" w:color="45A7E1"/>
              <w:left w:val="single" w:sz="8" w:space="0" w:color="45A7E1"/>
              <w:bottom w:val="single" w:sz="8" w:space="0" w:color="45A7E1"/>
              <w:right w:val="single" w:sz="8" w:space="0" w:color="45A7E1"/>
            </w:tcBorders>
            <w:shd w:val="clear" w:color="000000" w:fill="0B1F51"/>
            <w:vAlign w:val="center"/>
            <w:hideMark/>
          </w:tcPr>
          <w:p w14:paraId="7D18D44F" w14:textId="77777777" w:rsidR="00E20503" w:rsidRPr="006C5712" w:rsidRDefault="00E20503" w:rsidP="00E20503">
            <w:pPr>
              <w:spacing w:after="0" w:line="240" w:lineRule="auto"/>
              <w:rPr>
                <w:rFonts w:asciiTheme="minorBidi" w:eastAsia="Times New Roman" w:hAnsiTheme="minorBidi" w:cstheme="minorBidi"/>
                <w:b/>
                <w:bCs/>
                <w:color w:val="FFFFFF"/>
                <w:sz w:val="20"/>
                <w:szCs w:val="20"/>
                <w:lang w:eastAsia="en-US"/>
              </w:rPr>
            </w:pPr>
            <w:r w:rsidRPr="006C5712">
              <w:rPr>
                <w:rFonts w:asciiTheme="minorBidi" w:eastAsia="Times New Roman" w:hAnsiTheme="minorBidi" w:cstheme="minorBidi"/>
                <w:b/>
                <w:bCs/>
                <w:color w:val="FFFFFF"/>
                <w:sz w:val="20"/>
                <w:szCs w:val="20"/>
                <w:lang w:eastAsia="en-US"/>
              </w:rPr>
              <w:t>Diagnosis</w:t>
            </w:r>
          </w:p>
        </w:tc>
        <w:tc>
          <w:tcPr>
            <w:tcW w:w="2400" w:type="dxa"/>
            <w:tcBorders>
              <w:top w:val="single" w:sz="8" w:space="0" w:color="45A7E1"/>
              <w:left w:val="nil"/>
              <w:bottom w:val="single" w:sz="8" w:space="0" w:color="45A7E1"/>
              <w:right w:val="single" w:sz="8" w:space="0" w:color="45A7E1"/>
            </w:tcBorders>
            <w:shd w:val="clear" w:color="000000" w:fill="0B1F51"/>
            <w:vAlign w:val="center"/>
            <w:hideMark/>
          </w:tcPr>
          <w:p w14:paraId="5A29F69D" w14:textId="77777777" w:rsidR="00E20503" w:rsidRPr="006C5712" w:rsidRDefault="00E20503" w:rsidP="00E20503">
            <w:pPr>
              <w:spacing w:after="0" w:line="240" w:lineRule="auto"/>
              <w:jc w:val="center"/>
              <w:rPr>
                <w:rFonts w:asciiTheme="minorBidi" w:eastAsia="Times New Roman" w:hAnsiTheme="minorBidi" w:cstheme="minorBidi"/>
                <w:b/>
                <w:bCs/>
                <w:color w:val="FFFFFF"/>
                <w:sz w:val="20"/>
                <w:szCs w:val="20"/>
                <w:lang w:eastAsia="en-US"/>
              </w:rPr>
            </w:pPr>
            <w:r w:rsidRPr="006C5712">
              <w:rPr>
                <w:rFonts w:asciiTheme="minorBidi" w:eastAsia="Times New Roman" w:hAnsiTheme="minorBidi" w:cstheme="minorBidi"/>
                <w:b/>
                <w:bCs/>
                <w:color w:val="FFFFFF"/>
                <w:sz w:val="20"/>
                <w:szCs w:val="20"/>
                <w:lang w:eastAsia="en-US"/>
              </w:rPr>
              <w:t>Number, (%)</w:t>
            </w:r>
          </w:p>
        </w:tc>
      </w:tr>
      <w:tr w:rsidR="00D52585" w:rsidRPr="006C5712" w14:paraId="0B98C2B1" w14:textId="77777777" w:rsidTr="00D52585">
        <w:trPr>
          <w:trHeight w:val="317"/>
        </w:trPr>
        <w:tc>
          <w:tcPr>
            <w:tcW w:w="4700" w:type="dxa"/>
            <w:tcBorders>
              <w:top w:val="nil"/>
              <w:left w:val="single" w:sz="8" w:space="0" w:color="45A7E1"/>
              <w:bottom w:val="single" w:sz="8" w:space="0" w:color="45A7E1"/>
              <w:right w:val="single" w:sz="8" w:space="0" w:color="45A7E1"/>
            </w:tcBorders>
            <w:shd w:val="clear" w:color="000000" w:fill="DBE4ED"/>
            <w:vAlign w:val="bottom"/>
          </w:tcPr>
          <w:p w14:paraId="307FA328" w14:textId="154CACCD" w:rsidR="00D52585" w:rsidRPr="006C5712" w:rsidRDefault="00D52585" w:rsidP="00D52585">
            <w:pPr>
              <w:spacing w:after="0" w:line="240" w:lineRule="auto"/>
              <w:rPr>
                <w:rFonts w:asciiTheme="minorBidi" w:eastAsia="Times New Roman" w:hAnsiTheme="minorBidi" w:cstheme="minorBidi"/>
                <w:color w:val="000000"/>
                <w:sz w:val="20"/>
                <w:szCs w:val="20"/>
                <w:lang w:eastAsia="en-US"/>
              </w:rPr>
            </w:pPr>
            <w:r w:rsidRPr="006C5712">
              <w:rPr>
                <w:rFonts w:asciiTheme="minorBidi" w:hAnsiTheme="minorBidi" w:cstheme="minorBidi"/>
                <w:color w:val="000000"/>
              </w:rPr>
              <w:t>Gastroenteritis</w:t>
            </w:r>
          </w:p>
        </w:tc>
        <w:tc>
          <w:tcPr>
            <w:tcW w:w="2400" w:type="dxa"/>
            <w:tcBorders>
              <w:top w:val="nil"/>
              <w:left w:val="nil"/>
              <w:bottom w:val="single" w:sz="8" w:space="0" w:color="45A7E1"/>
              <w:right w:val="single" w:sz="8" w:space="0" w:color="45A7E1"/>
            </w:tcBorders>
            <w:shd w:val="clear" w:color="000000" w:fill="DBE4ED"/>
            <w:vAlign w:val="center"/>
          </w:tcPr>
          <w:p w14:paraId="26C5C163" w14:textId="4416F742" w:rsidR="00D52585" w:rsidRPr="006C5712" w:rsidRDefault="00D52585" w:rsidP="00D52585">
            <w:pPr>
              <w:spacing w:after="0" w:line="240" w:lineRule="auto"/>
              <w:jc w:val="center"/>
              <w:rPr>
                <w:rFonts w:asciiTheme="minorBidi" w:eastAsia="Times New Roman" w:hAnsiTheme="minorBidi" w:cstheme="minorBidi"/>
                <w:color w:val="000000"/>
                <w:sz w:val="20"/>
                <w:szCs w:val="20"/>
                <w:lang w:eastAsia="en-US"/>
              </w:rPr>
            </w:pPr>
            <w:r w:rsidRPr="006C5712">
              <w:rPr>
                <w:rFonts w:asciiTheme="minorBidi" w:eastAsia="Times New Roman" w:hAnsiTheme="minorBidi" w:cstheme="minorBidi"/>
                <w:color w:val="000000"/>
                <w:sz w:val="20"/>
                <w:szCs w:val="20"/>
                <w:lang w:eastAsia="en-US"/>
              </w:rPr>
              <w:t>27 (18%)</w:t>
            </w:r>
          </w:p>
        </w:tc>
      </w:tr>
      <w:tr w:rsidR="00D52585" w:rsidRPr="006C5712" w14:paraId="5843B2D5" w14:textId="77777777" w:rsidTr="00D52585">
        <w:trPr>
          <w:trHeight w:val="317"/>
        </w:trPr>
        <w:tc>
          <w:tcPr>
            <w:tcW w:w="4700" w:type="dxa"/>
            <w:tcBorders>
              <w:top w:val="nil"/>
              <w:left w:val="single" w:sz="8" w:space="0" w:color="45A7E1"/>
              <w:bottom w:val="single" w:sz="8" w:space="0" w:color="45A7E1"/>
              <w:right w:val="single" w:sz="8" w:space="0" w:color="45A7E1"/>
            </w:tcBorders>
            <w:shd w:val="clear" w:color="000000" w:fill="DBE4ED"/>
            <w:vAlign w:val="bottom"/>
          </w:tcPr>
          <w:p w14:paraId="6B24C9AC" w14:textId="398DE3AE" w:rsidR="00D52585" w:rsidRPr="006C5712" w:rsidRDefault="00D52585" w:rsidP="00D52585">
            <w:pPr>
              <w:spacing w:after="0" w:line="240" w:lineRule="auto"/>
              <w:rPr>
                <w:rFonts w:asciiTheme="minorBidi" w:eastAsia="Times New Roman" w:hAnsiTheme="minorBidi" w:cstheme="minorBidi"/>
                <w:color w:val="000000"/>
              </w:rPr>
            </w:pPr>
            <w:r w:rsidRPr="006C5712">
              <w:rPr>
                <w:rFonts w:asciiTheme="minorBidi" w:hAnsiTheme="minorBidi" w:cstheme="minorBidi"/>
                <w:color w:val="000000"/>
              </w:rPr>
              <w:t>Delivery</w:t>
            </w:r>
          </w:p>
        </w:tc>
        <w:tc>
          <w:tcPr>
            <w:tcW w:w="2400" w:type="dxa"/>
            <w:tcBorders>
              <w:top w:val="nil"/>
              <w:left w:val="nil"/>
              <w:bottom w:val="single" w:sz="8" w:space="0" w:color="45A7E1"/>
              <w:right w:val="single" w:sz="8" w:space="0" w:color="45A7E1"/>
            </w:tcBorders>
            <w:shd w:val="clear" w:color="000000" w:fill="DBE4ED"/>
            <w:vAlign w:val="center"/>
          </w:tcPr>
          <w:p w14:paraId="744D65B4" w14:textId="522587EB" w:rsidR="00D52585" w:rsidRPr="006C5712" w:rsidRDefault="00D52585" w:rsidP="00D52585">
            <w:pPr>
              <w:spacing w:after="0" w:line="240" w:lineRule="auto"/>
              <w:jc w:val="center"/>
              <w:rPr>
                <w:rFonts w:asciiTheme="minorBidi" w:eastAsia="Times New Roman" w:hAnsiTheme="minorBidi" w:cstheme="minorBidi"/>
                <w:color w:val="000000"/>
                <w:sz w:val="20"/>
                <w:szCs w:val="20"/>
                <w:lang w:eastAsia="en-US"/>
              </w:rPr>
            </w:pPr>
            <w:r w:rsidRPr="006C5712">
              <w:rPr>
                <w:rFonts w:asciiTheme="minorBidi" w:eastAsia="Times New Roman" w:hAnsiTheme="minorBidi" w:cstheme="minorBidi"/>
                <w:color w:val="000000"/>
                <w:sz w:val="20"/>
                <w:szCs w:val="20"/>
                <w:lang w:eastAsia="en-US"/>
              </w:rPr>
              <w:t xml:space="preserve">17 (11%) </w:t>
            </w:r>
          </w:p>
        </w:tc>
      </w:tr>
      <w:tr w:rsidR="00D52585" w:rsidRPr="006C5712" w14:paraId="646E91E1" w14:textId="77777777" w:rsidTr="00D52585">
        <w:trPr>
          <w:trHeight w:val="317"/>
        </w:trPr>
        <w:tc>
          <w:tcPr>
            <w:tcW w:w="4700" w:type="dxa"/>
            <w:tcBorders>
              <w:top w:val="nil"/>
              <w:left w:val="single" w:sz="8" w:space="0" w:color="45A7E1"/>
              <w:bottom w:val="single" w:sz="8" w:space="0" w:color="45A7E1"/>
              <w:right w:val="single" w:sz="8" w:space="0" w:color="45A7E1"/>
            </w:tcBorders>
            <w:shd w:val="clear" w:color="000000" w:fill="DBE4ED"/>
            <w:vAlign w:val="bottom"/>
          </w:tcPr>
          <w:p w14:paraId="7E71BDF7" w14:textId="13644E53" w:rsidR="00D52585" w:rsidRPr="006C5712" w:rsidRDefault="00D52585" w:rsidP="00D52585">
            <w:pPr>
              <w:spacing w:after="0" w:line="240" w:lineRule="auto"/>
              <w:rPr>
                <w:rFonts w:asciiTheme="minorBidi" w:eastAsia="Times New Roman" w:hAnsiTheme="minorBidi" w:cstheme="minorBidi"/>
                <w:color w:val="000000"/>
                <w:sz w:val="20"/>
                <w:szCs w:val="20"/>
                <w:lang w:eastAsia="en-US"/>
              </w:rPr>
            </w:pPr>
            <w:r w:rsidRPr="006C5712">
              <w:rPr>
                <w:rFonts w:asciiTheme="minorBidi" w:hAnsiTheme="minorBidi" w:cstheme="minorBidi"/>
                <w:color w:val="000000"/>
              </w:rPr>
              <w:t>Appendectomy</w:t>
            </w:r>
          </w:p>
        </w:tc>
        <w:tc>
          <w:tcPr>
            <w:tcW w:w="2400" w:type="dxa"/>
            <w:tcBorders>
              <w:top w:val="nil"/>
              <w:left w:val="nil"/>
              <w:bottom w:val="single" w:sz="8" w:space="0" w:color="45A7E1"/>
              <w:right w:val="single" w:sz="8" w:space="0" w:color="45A7E1"/>
            </w:tcBorders>
            <w:shd w:val="clear" w:color="000000" w:fill="DBE4ED"/>
            <w:vAlign w:val="center"/>
          </w:tcPr>
          <w:p w14:paraId="28B5E067" w14:textId="2B3CE0C3" w:rsidR="00D52585" w:rsidRPr="006C5712" w:rsidRDefault="00D52585" w:rsidP="00D52585">
            <w:pPr>
              <w:spacing w:after="0" w:line="240" w:lineRule="auto"/>
              <w:jc w:val="center"/>
              <w:rPr>
                <w:rFonts w:asciiTheme="minorBidi" w:eastAsia="Times New Roman" w:hAnsiTheme="minorBidi" w:cstheme="minorBidi"/>
                <w:color w:val="000000"/>
                <w:sz w:val="20"/>
                <w:szCs w:val="20"/>
                <w:lang w:eastAsia="en-US"/>
              </w:rPr>
            </w:pPr>
            <w:r w:rsidRPr="006C5712">
              <w:rPr>
                <w:rFonts w:asciiTheme="minorBidi" w:eastAsia="Times New Roman" w:hAnsiTheme="minorBidi" w:cstheme="minorBidi"/>
                <w:color w:val="000000"/>
                <w:sz w:val="20"/>
                <w:szCs w:val="20"/>
                <w:lang w:eastAsia="en-US"/>
              </w:rPr>
              <w:t>12 (8%)</w:t>
            </w:r>
          </w:p>
        </w:tc>
      </w:tr>
      <w:tr w:rsidR="00D52585" w:rsidRPr="006C5712" w14:paraId="09FF9BF6" w14:textId="77777777" w:rsidTr="00D52585">
        <w:trPr>
          <w:trHeight w:val="317"/>
        </w:trPr>
        <w:tc>
          <w:tcPr>
            <w:tcW w:w="4700" w:type="dxa"/>
            <w:tcBorders>
              <w:top w:val="nil"/>
              <w:left w:val="single" w:sz="8" w:space="0" w:color="45A7E1"/>
              <w:bottom w:val="single" w:sz="8" w:space="0" w:color="45A7E1"/>
              <w:right w:val="single" w:sz="8" w:space="0" w:color="45A7E1"/>
            </w:tcBorders>
            <w:shd w:val="clear" w:color="000000" w:fill="DBE4ED"/>
            <w:vAlign w:val="bottom"/>
          </w:tcPr>
          <w:p w14:paraId="00DF4301" w14:textId="76502C10" w:rsidR="00D52585" w:rsidRPr="006C5712" w:rsidRDefault="00D52585" w:rsidP="00D52585">
            <w:pPr>
              <w:spacing w:after="0" w:line="240" w:lineRule="auto"/>
              <w:rPr>
                <w:rFonts w:asciiTheme="minorBidi" w:eastAsia="Times New Roman" w:hAnsiTheme="minorBidi" w:cstheme="minorBidi"/>
                <w:color w:val="000000"/>
                <w:sz w:val="20"/>
                <w:szCs w:val="20"/>
                <w:lang w:eastAsia="en-US"/>
              </w:rPr>
            </w:pPr>
            <w:r w:rsidRPr="006C5712">
              <w:rPr>
                <w:rFonts w:asciiTheme="minorBidi" w:hAnsiTheme="minorBidi" w:cstheme="minorBidi"/>
                <w:color w:val="000000"/>
              </w:rPr>
              <w:t>Fever, unspecific</w:t>
            </w:r>
          </w:p>
        </w:tc>
        <w:tc>
          <w:tcPr>
            <w:tcW w:w="2400" w:type="dxa"/>
            <w:tcBorders>
              <w:top w:val="nil"/>
              <w:left w:val="nil"/>
              <w:bottom w:val="single" w:sz="8" w:space="0" w:color="45A7E1"/>
              <w:right w:val="single" w:sz="8" w:space="0" w:color="45A7E1"/>
            </w:tcBorders>
            <w:shd w:val="clear" w:color="000000" w:fill="DBE4ED"/>
            <w:vAlign w:val="center"/>
          </w:tcPr>
          <w:p w14:paraId="54F65AA0" w14:textId="69C683C6" w:rsidR="00D52585" w:rsidRPr="006C5712" w:rsidRDefault="00D52585" w:rsidP="00D52585">
            <w:pPr>
              <w:spacing w:after="0" w:line="240" w:lineRule="auto"/>
              <w:jc w:val="center"/>
              <w:rPr>
                <w:rFonts w:asciiTheme="minorBidi" w:eastAsia="Times New Roman" w:hAnsiTheme="minorBidi" w:cstheme="minorBidi"/>
                <w:color w:val="000000"/>
                <w:sz w:val="20"/>
                <w:szCs w:val="20"/>
                <w:lang w:eastAsia="en-US"/>
              </w:rPr>
            </w:pPr>
            <w:r w:rsidRPr="006C5712">
              <w:rPr>
                <w:rFonts w:asciiTheme="minorBidi" w:eastAsia="Times New Roman" w:hAnsiTheme="minorBidi" w:cstheme="minorBidi"/>
                <w:color w:val="000000"/>
                <w:sz w:val="20"/>
                <w:szCs w:val="20"/>
                <w:lang w:eastAsia="en-US"/>
              </w:rPr>
              <w:t>12 (8%)</w:t>
            </w:r>
          </w:p>
        </w:tc>
      </w:tr>
      <w:tr w:rsidR="00D52585" w:rsidRPr="006C5712" w14:paraId="56442140" w14:textId="77777777" w:rsidTr="00D52585">
        <w:trPr>
          <w:trHeight w:val="317"/>
        </w:trPr>
        <w:tc>
          <w:tcPr>
            <w:tcW w:w="4700" w:type="dxa"/>
            <w:tcBorders>
              <w:top w:val="nil"/>
              <w:left w:val="single" w:sz="8" w:space="0" w:color="45A7E1"/>
              <w:bottom w:val="single" w:sz="8" w:space="0" w:color="45A7E1"/>
              <w:right w:val="single" w:sz="8" w:space="0" w:color="45A7E1"/>
            </w:tcBorders>
            <w:shd w:val="clear" w:color="000000" w:fill="DBE4ED"/>
            <w:vAlign w:val="bottom"/>
          </w:tcPr>
          <w:p w14:paraId="2E0ED07C" w14:textId="2873BFCA" w:rsidR="00D52585" w:rsidRPr="006C5712" w:rsidRDefault="00D52585" w:rsidP="00D52585">
            <w:pPr>
              <w:spacing w:after="0" w:line="240" w:lineRule="auto"/>
              <w:rPr>
                <w:rFonts w:asciiTheme="minorBidi" w:eastAsia="Times New Roman" w:hAnsiTheme="minorBidi" w:cstheme="minorBidi"/>
                <w:color w:val="000000"/>
                <w:sz w:val="20"/>
                <w:szCs w:val="20"/>
                <w:lang w:eastAsia="en-US"/>
              </w:rPr>
            </w:pPr>
            <w:r w:rsidRPr="006C5712">
              <w:rPr>
                <w:rFonts w:asciiTheme="minorBidi" w:hAnsiTheme="minorBidi" w:cstheme="minorBidi"/>
                <w:color w:val="000000"/>
              </w:rPr>
              <w:t>LSCS</w:t>
            </w:r>
          </w:p>
        </w:tc>
        <w:tc>
          <w:tcPr>
            <w:tcW w:w="2400" w:type="dxa"/>
            <w:tcBorders>
              <w:top w:val="nil"/>
              <w:left w:val="nil"/>
              <w:bottom w:val="single" w:sz="8" w:space="0" w:color="45A7E1"/>
              <w:right w:val="single" w:sz="8" w:space="0" w:color="45A7E1"/>
            </w:tcBorders>
            <w:shd w:val="clear" w:color="000000" w:fill="DBE4ED"/>
            <w:vAlign w:val="center"/>
          </w:tcPr>
          <w:p w14:paraId="6689F9E1" w14:textId="38632825" w:rsidR="00D52585" w:rsidRPr="006C5712" w:rsidRDefault="00D52585" w:rsidP="00D52585">
            <w:pPr>
              <w:spacing w:after="0" w:line="240" w:lineRule="auto"/>
              <w:jc w:val="center"/>
              <w:rPr>
                <w:rFonts w:asciiTheme="minorBidi" w:eastAsia="Times New Roman" w:hAnsiTheme="minorBidi" w:cstheme="minorBidi"/>
                <w:color w:val="000000"/>
                <w:sz w:val="20"/>
                <w:szCs w:val="20"/>
                <w:lang w:eastAsia="en-US"/>
              </w:rPr>
            </w:pPr>
            <w:r w:rsidRPr="006C5712">
              <w:rPr>
                <w:rFonts w:asciiTheme="minorBidi" w:eastAsia="Times New Roman" w:hAnsiTheme="minorBidi" w:cstheme="minorBidi"/>
                <w:color w:val="000000"/>
                <w:sz w:val="20"/>
                <w:szCs w:val="20"/>
                <w:lang w:eastAsia="en-US"/>
              </w:rPr>
              <w:t>6 (4%)</w:t>
            </w:r>
          </w:p>
        </w:tc>
      </w:tr>
      <w:tr w:rsidR="00D52585" w:rsidRPr="006C5712" w14:paraId="20AEB8E4" w14:textId="77777777" w:rsidTr="00D52585">
        <w:trPr>
          <w:trHeight w:val="317"/>
        </w:trPr>
        <w:tc>
          <w:tcPr>
            <w:tcW w:w="4700" w:type="dxa"/>
            <w:tcBorders>
              <w:top w:val="nil"/>
              <w:left w:val="single" w:sz="8" w:space="0" w:color="45A7E1"/>
              <w:bottom w:val="single" w:sz="8" w:space="0" w:color="45A7E1"/>
              <w:right w:val="single" w:sz="8" w:space="0" w:color="45A7E1"/>
            </w:tcBorders>
            <w:shd w:val="clear" w:color="000000" w:fill="DBE4ED"/>
            <w:vAlign w:val="bottom"/>
          </w:tcPr>
          <w:p w14:paraId="0EBC7F67" w14:textId="7B917D0C" w:rsidR="00D52585" w:rsidRPr="006C5712" w:rsidRDefault="00D52585" w:rsidP="00D52585">
            <w:pPr>
              <w:spacing w:after="0" w:line="240" w:lineRule="auto"/>
              <w:rPr>
                <w:rFonts w:asciiTheme="minorBidi" w:eastAsia="Times New Roman" w:hAnsiTheme="minorBidi" w:cstheme="minorBidi"/>
                <w:color w:val="000000"/>
                <w:sz w:val="20"/>
                <w:szCs w:val="20"/>
                <w:lang w:eastAsia="en-US"/>
              </w:rPr>
            </w:pPr>
            <w:r w:rsidRPr="006C5712">
              <w:rPr>
                <w:rFonts w:asciiTheme="minorBidi" w:hAnsiTheme="minorBidi" w:cstheme="minorBidi"/>
                <w:color w:val="000000"/>
              </w:rPr>
              <w:t>UTI</w:t>
            </w:r>
          </w:p>
        </w:tc>
        <w:tc>
          <w:tcPr>
            <w:tcW w:w="2400" w:type="dxa"/>
            <w:tcBorders>
              <w:top w:val="nil"/>
              <w:left w:val="nil"/>
              <w:bottom w:val="single" w:sz="8" w:space="0" w:color="45A7E1"/>
              <w:right w:val="single" w:sz="8" w:space="0" w:color="45A7E1"/>
            </w:tcBorders>
            <w:shd w:val="clear" w:color="000000" w:fill="DBE4ED"/>
            <w:vAlign w:val="center"/>
          </w:tcPr>
          <w:p w14:paraId="1CC084AE" w14:textId="07AECEFC" w:rsidR="00D52585" w:rsidRPr="006C5712" w:rsidRDefault="00D52585" w:rsidP="00D52585">
            <w:pPr>
              <w:spacing w:after="0" w:line="240" w:lineRule="auto"/>
              <w:jc w:val="center"/>
              <w:rPr>
                <w:rFonts w:asciiTheme="minorBidi" w:eastAsia="Times New Roman" w:hAnsiTheme="minorBidi" w:cstheme="minorBidi"/>
                <w:color w:val="000000"/>
                <w:sz w:val="20"/>
                <w:szCs w:val="20"/>
                <w:lang w:eastAsia="en-US"/>
              </w:rPr>
            </w:pPr>
            <w:r w:rsidRPr="006C5712">
              <w:rPr>
                <w:rFonts w:asciiTheme="minorBidi" w:eastAsia="Times New Roman" w:hAnsiTheme="minorBidi" w:cstheme="minorBidi"/>
                <w:color w:val="000000"/>
                <w:sz w:val="20"/>
                <w:szCs w:val="20"/>
                <w:lang w:eastAsia="en-US"/>
              </w:rPr>
              <w:t>6 (4%)</w:t>
            </w:r>
          </w:p>
        </w:tc>
      </w:tr>
      <w:tr w:rsidR="00D52585" w:rsidRPr="006C5712" w14:paraId="2B035788" w14:textId="77777777" w:rsidTr="00D52585">
        <w:trPr>
          <w:trHeight w:val="317"/>
        </w:trPr>
        <w:tc>
          <w:tcPr>
            <w:tcW w:w="4700" w:type="dxa"/>
            <w:tcBorders>
              <w:top w:val="nil"/>
              <w:left w:val="single" w:sz="8" w:space="0" w:color="45A7E1"/>
              <w:bottom w:val="single" w:sz="8" w:space="0" w:color="45A7E1"/>
              <w:right w:val="single" w:sz="8" w:space="0" w:color="45A7E1"/>
            </w:tcBorders>
            <w:shd w:val="clear" w:color="000000" w:fill="DBE4ED"/>
            <w:vAlign w:val="bottom"/>
          </w:tcPr>
          <w:p w14:paraId="69F7C6B6" w14:textId="17773F4E" w:rsidR="00D52585" w:rsidRPr="006C5712" w:rsidRDefault="00D52585" w:rsidP="00D52585">
            <w:pPr>
              <w:spacing w:after="0" w:line="240" w:lineRule="auto"/>
              <w:rPr>
                <w:rFonts w:asciiTheme="minorBidi" w:eastAsia="Times New Roman" w:hAnsiTheme="minorBidi" w:cstheme="minorBidi"/>
                <w:color w:val="000000"/>
                <w:sz w:val="20"/>
                <w:szCs w:val="20"/>
                <w:lang w:eastAsia="en-US"/>
              </w:rPr>
            </w:pPr>
            <w:r w:rsidRPr="006C5712">
              <w:rPr>
                <w:rFonts w:asciiTheme="minorBidi" w:hAnsiTheme="minorBidi" w:cstheme="minorBidi"/>
                <w:color w:val="000000"/>
              </w:rPr>
              <w:t>Upper respiratory infection, acute, NOS</w:t>
            </w:r>
          </w:p>
        </w:tc>
        <w:tc>
          <w:tcPr>
            <w:tcW w:w="2400" w:type="dxa"/>
            <w:tcBorders>
              <w:top w:val="nil"/>
              <w:left w:val="nil"/>
              <w:bottom w:val="single" w:sz="8" w:space="0" w:color="45A7E1"/>
              <w:right w:val="single" w:sz="8" w:space="0" w:color="45A7E1"/>
            </w:tcBorders>
            <w:shd w:val="clear" w:color="000000" w:fill="DBE4ED"/>
            <w:vAlign w:val="center"/>
          </w:tcPr>
          <w:p w14:paraId="4B58DC2C" w14:textId="142AD23F" w:rsidR="00D52585" w:rsidRPr="006C5712" w:rsidRDefault="00D52585" w:rsidP="00D52585">
            <w:pPr>
              <w:spacing w:after="0" w:line="240" w:lineRule="auto"/>
              <w:jc w:val="center"/>
              <w:rPr>
                <w:rFonts w:asciiTheme="minorBidi" w:eastAsia="Times New Roman" w:hAnsiTheme="minorBidi" w:cstheme="minorBidi"/>
                <w:color w:val="000000"/>
                <w:sz w:val="20"/>
                <w:szCs w:val="20"/>
                <w:lang w:eastAsia="en-US"/>
              </w:rPr>
            </w:pPr>
            <w:r w:rsidRPr="006C5712">
              <w:rPr>
                <w:rFonts w:asciiTheme="minorBidi" w:eastAsia="Times New Roman" w:hAnsiTheme="minorBidi" w:cstheme="minorBidi"/>
                <w:color w:val="000000"/>
                <w:sz w:val="20"/>
                <w:szCs w:val="20"/>
                <w:lang w:eastAsia="en-US"/>
              </w:rPr>
              <w:t>5 (3%)</w:t>
            </w:r>
          </w:p>
        </w:tc>
      </w:tr>
      <w:tr w:rsidR="00D52585" w:rsidRPr="006C5712" w14:paraId="57ED21F6" w14:textId="77777777" w:rsidTr="00D52585">
        <w:trPr>
          <w:trHeight w:val="317"/>
        </w:trPr>
        <w:tc>
          <w:tcPr>
            <w:tcW w:w="4700" w:type="dxa"/>
            <w:tcBorders>
              <w:top w:val="nil"/>
              <w:left w:val="single" w:sz="8" w:space="0" w:color="45A7E1"/>
              <w:bottom w:val="single" w:sz="8" w:space="0" w:color="45A7E1"/>
              <w:right w:val="single" w:sz="8" w:space="0" w:color="45A7E1"/>
            </w:tcBorders>
            <w:shd w:val="clear" w:color="000000" w:fill="DBE4ED"/>
            <w:vAlign w:val="bottom"/>
          </w:tcPr>
          <w:p w14:paraId="3A41C430" w14:textId="54C4563F" w:rsidR="00D52585" w:rsidRPr="006C5712" w:rsidRDefault="00D52585" w:rsidP="00D52585">
            <w:pPr>
              <w:spacing w:after="0" w:line="240" w:lineRule="auto"/>
              <w:rPr>
                <w:rFonts w:asciiTheme="minorBidi" w:eastAsia="Times New Roman" w:hAnsiTheme="minorBidi" w:cstheme="minorBidi"/>
                <w:color w:val="000000"/>
                <w:sz w:val="20"/>
                <w:szCs w:val="20"/>
                <w:lang w:eastAsia="en-US"/>
              </w:rPr>
            </w:pPr>
            <w:r w:rsidRPr="006C5712">
              <w:rPr>
                <w:rFonts w:asciiTheme="minorBidi" w:hAnsiTheme="minorBidi" w:cstheme="minorBidi"/>
                <w:color w:val="000000"/>
              </w:rPr>
              <w:t>COVID POSITIVE</w:t>
            </w:r>
          </w:p>
        </w:tc>
        <w:tc>
          <w:tcPr>
            <w:tcW w:w="2400" w:type="dxa"/>
            <w:tcBorders>
              <w:top w:val="nil"/>
              <w:left w:val="nil"/>
              <w:bottom w:val="single" w:sz="8" w:space="0" w:color="45A7E1"/>
              <w:right w:val="single" w:sz="8" w:space="0" w:color="45A7E1"/>
            </w:tcBorders>
            <w:shd w:val="clear" w:color="000000" w:fill="DBE4ED"/>
            <w:vAlign w:val="center"/>
          </w:tcPr>
          <w:p w14:paraId="726997B0" w14:textId="14BA347F" w:rsidR="00D52585" w:rsidRPr="006C5712" w:rsidRDefault="00D52585" w:rsidP="00D52585">
            <w:pPr>
              <w:spacing w:after="0" w:line="240" w:lineRule="auto"/>
              <w:jc w:val="center"/>
              <w:rPr>
                <w:rFonts w:asciiTheme="minorBidi" w:eastAsia="Times New Roman" w:hAnsiTheme="minorBidi" w:cstheme="minorBidi"/>
                <w:color w:val="000000"/>
                <w:sz w:val="20"/>
                <w:szCs w:val="20"/>
                <w:lang w:eastAsia="en-US"/>
              </w:rPr>
            </w:pPr>
            <w:r w:rsidRPr="006C5712">
              <w:rPr>
                <w:rFonts w:asciiTheme="minorBidi" w:eastAsia="Times New Roman" w:hAnsiTheme="minorBidi" w:cstheme="minorBidi"/>
                <w:color w:val="000000"/>
                <w:sz w:val="20"/>
                <w:szCs w:val="20"/>
                <w:lang w:eastAsia="en-US"/>
              </w:rPr>
              <w:t>4 (3%)</w:t>
            </w:r>
          </w:p>
        </w:tc>
      </w:tr>
      <w:tr w:rsidR="00D52585" w:rsidRPr="006C5712" w14:paraId="027EB750" w14:textId="77777777" w:rsidTr="00D52585">
        <w:trPr>
          <w:trHeight w:val="317"/>
        </w:trPr>
        <w:tc>
          <w:tcPr>
            <w:tcW w:w="4700" w:type="dxa"/>
            <w:tcBorders>
              <w:top w:val="nil"/>
              <w:left w:val="single" w:sz="8" w:space="0" w:color="45A7E1"/>
              <w:bottom w:val="single" w:sz="8" w:space="0" w:color="45A7E1"/>
              <w:right w:val="single" w:sz="8" w:space="0" w:color="45A7E1"/>
            </w:tcBorders>
            <w:shd w:val="clear" w:color="000000" w:fill="DBE4ED"/>
            <w:vAlign w:val="bottom"/>
          </w:tcPr>
          <w:p w14:paraId="3F3CD147" w14:textId="0B2D9099" w:rsidR="00D52585" w:rsidRPr="006C5712" w:rsidRDefault="00D52585" w:rsidP="00D52585">
            <w:pPr>
              <w:spacing w:after="0" w:line="240" w:lineRule="auto"/>
              <w:rPr>
                <w:rFonts w:asciiTheme="minorBidi" w:eastAsia="Times New Roman" w:hAnsiTheme="minorBidi" w:cstheme="minorBidi"/>
                <w:color w:val="000000"/>
                <w:sz w:val="20"/>
                <w:szCs w:val="20"/>
                <w:lang w:eastAsia="en-US"/>
              </w:rPr>
            </w:pPr>
            <w:r w:rsidRPr="006C5712">
              <w:rPr>
                <w:rFonts w:asciiTheme="minorBidi" w:hAnsiTheme="minorBidi" w:cstheme="minorBidi"/>
                <w:color w:val="000000"/>
              </w:rPr>
              <w:t>Hypertension</w:t>
            </w:r>
          </w:p>
        </w:tc>
        <w:tc>
          <w:tcPr>
            <w:tcW w:w="2400" w:type="dxa"/>
            <w:tcBorders>
              <w:top w:val="nil"/>
              <w:left w:val="nil"/>
              <w:bottom w:val="single" w:sz="8" w:space="0" w:color="45A7E1"/>
              <w:right w:val="single" w:sz="8" w:space="0" w:color="45A7E1"/>
            </w:tcBorders>
            <w:shd w:val="clear" w:color="000000" w:fill="DBE4ED"/>
            <w:vAlign w:val="center"/>
          </w:tcPr>
          <w:p w14:paraId="6CCCA910" w14:textId="46DC154B" w:rsidR="00D52585" w:rsidRPr="006C5712" w:rsidRDefault="00D52585" w:rsidP="00D52585">
            <w:pPr>
              <w:spacing w:after="0" w:line="240" w:lineRule="auto"/>
              <w:jc w:val="center"/>
              <w:rPr>
                <w:rFonts w:asciiTheme="minorBidi" w:eastAsia="Times New Roman" w:hAnsiTheme="minorBidi" w:cstheme="minorBidi"/>
                <w:color w:val="000000"/>
                <w:sz w:val="20"/>
                <w:szCs w:val="20"/>
                <w:lang w:eastAsia="en-US"/>
              </w:rPr>
            </w:pPr>
            <w:r w:rsidRPr="006C5712">
              <w:rPr>
                <w:rFonts w:asciiTheme="minorBidi" w:eastAsia="Times New Roman" w:hAnsiTheme="minorBidi" w:cstheme="minorBidi"/>
                <w:color w:val="000000"/>
                <w:sz w:val="20"/>
                <w:szCs w:val="20"/>
                <w:lang w:eastAsia="en-US"/>
              </w:rPr>
              <w:t>4 (3%)</w:t>
            </w:r>
          </w:p>
        </w:tc>
      </w:tr>
      <w:tr w:rsidR="00D52585" w:rsidRPr="006C5712" w14:paraId="243BDF37" w14:textId="77777777" w:rsidTr="00D52585">
        <w:trPr>
          <w:trHeight w:val="317"/>
        </w:trPr>
        <w:tc>
          <w:tcPr>
            <w:tcW w:w="4700" w:type="dxa"/>
            <w:tcBorders>
              <w:top w:val="nil"/>
              <w:left w:val="single" w:sz="8" w:space="0" w:color="45A7E1"/>
              <w:bottom w:val="single" w:sz="8" w:space="0" w:color="45A7E1"/>
              <w:right w:val="single" w:sz="8" w:space="0" w:color="45A7E1"/>
            </w:tcBorders>
            <w:shd w:val="clear" w:color="000000" w:fill="DBE4ED"/>
            <w:vAlign w:val="bottom"/>
          </w:tcPr>
          <w:p w14:paraId="524B2C23" w14:textId="0B2AE363" w:rsidR="00D52585" w:rsidRPr="006C5712" w:rsidRDefault="00D52585" w:rsidP="00D52585">
            <w:pPr>
              <w:spacing w:after="0" w:line="240" w:lineRule="auto"/>
              <w:rPr>
                <w:rFonts w:asciiTheme="minorBidi" w:eastAsia="Times New Roman" w:hAnsiTheme="minorBidi" w:cstheme="minorBidi"/>
                <w:color w:val="000000"/>
                <w:sz w:val="20"/>
                <w:szCs w:val="20"/>
                <w:lang w:eastAsia="en-US"/>
              </w:rPr>
            </w:pPr>
            <w:r w:rsidRPr="006C5712">
              <w:rPr>
                <w:rFonts w:asciiTheme="minorBidi" w:hAnsiTheme="minorBidi" w:cstheme="minorBidi"/>
                <w:color w:val="000000"/>
              </w:rPr>
              <w:t>Pregnancy, other complications, unspecific</w:t>
            </w:r>
          </w:p>
        </w:tc>
        <w:tc>
          <w:tcPr>
            <w:tcW w:w="2400" w:type="dxa"/>
            <w:tcBorders>
              <w:top w:val="nil"/>
              <w:left w:val="nil"/>
              <w:bottom w:val="single" w:sz="8" w:space="0" w:color="45A7E1"/>
              <w:right w:val="single" w:sz="8" w:space="0" w:color="45A7E1"/>
            </w:tcBorders>
            <w:shd w:val="clear" w:color="000000" w:fill="DBE4ED"/>
            <w:vAlign w:val="center"/>
          </w:tcPr>
          <w:p w14:paraId="1228045B" w14:textId="7E82CB63" w:rsidR="00D52585" w:rsidRPr="006C5712" w:rsidRDefault="00D52585" w:rsidP="00D52585">
            <w:pPr>
              <w:spacing w:after="0" w:line="240" w:lineRule="auto"/>
              <w:jc w:val="center"/>
              <w:rPr>
                <w:rFonts w:asciiTheme="minorBidi" w:eastAsia="Times New Roman" w:hAnsiTheme="minorBidi" w:cstheme="minorBidi"/>
                <w:color w:val="000000"/>
                <w:sz w:val="20"/>
                <w:szCs w:val="20"/>
                <w:lang w:eastAsia="en-US"/>
              </w:rPr>
            </w:pPr>
            <w:r w:rsidRPr="006C5712">
              <w:rPr>
                <w:rFonts w:asciiTheme="minorBidi" w:eastAsia="Times New Roman" w:hAnsiTheme="minorBidi" w:cstheme="minorBidi"/>
                <w:color w:val="000000"/>
                <w:sz w:val="20"/>
                <w:szCs w:val="20"/>
                <w:lang w:eastAsia="en-US"/>
              </w:rPr>
              <w:t>4 (3%)</w:t>
            </w:r>
          </w:p>
        </w:tc>
      </w:tr>
      <w:tr w:rsidR="00E20503" w:rsidRPr="006C5712" w14:paraId="56A9F963" w14:textId="77777777" w:rsidTr="00D52585">
        <w:trPr>
          <w:trHeight w:val="317"/>
        </w:trPr>
        <w:tc>
          <w:tcPr>
            <w:tcW w:w="4700" w:type="dxa"/>
            <w:tcBorders>
              <w:top w:val="nil"/>
              <w:left w:val="single" w:sz="8" w:space="0" w:color="45A7E1"/>
              <w:bottom w:val="single" w:sz="8" w:space="0" w:color="45A7E1"/>
              <w:right w:val="single" w:sz="8" w:space="0" w:color="45A7E1"/>
            </w:tcBorders>
            <w:shd w:val="clear" w:color="000000" w:fill="DBE4ED"/>
            <w:vAlign w:val="center"/>
          </w:tcPr>
          <w:p w14:paraId="27EF17C0" w14:textId="00AC9E07" w:rsidR="00E20503" w:rsidRPr="006C5712" w:rsidRDefault="00D52585" w:rsidP="00E20503">
            <w:pPr>
              <w:spacing w:after="0" w:line="240" w:lineRule="auto"/>
              <w:rPr>
                <w:rFonts w:asciiTheme="minorBidi" w:eastAsia="Times New Roman" w:hAnsiTheme="minorBidi" w:cstheme="minorBidi"/>
                <w:color w:val="000000"/>
                <w:sz w:val="20"/>
                <w:szCs w:val="20"/>
                <w:lang w:eastAsia="en-US"/>
              </w:rPr>
            </w:pPr>
            <w:r w:rsidRPr="006C5712">
              <w:rPr>
                <w:rFonts w:asciiTheme="minorBidi" w:eastAsia="Times New Roman" w:hAnsiTheme="minorBidi" w:cstheme="minorBidi"/>
                <w:color w:val="000000"/>
                <w:sz w:val="20"/>
                <w:szCs w:val="20"/>
                <w:lang w:eastAsia="en-US"/>
              </w:rPr>
              <w:t>Other diagnoses</w:t>
            </w:r>
          </w:p>
        </w:tc>
        <w:tc>
          <w:tcPr>
            <w:tcW w:w="2400" w:type="dxa"/>
            <w:tcBorders>
              <w:top w:val="nil"/>
              <w:left w:val="nil"/>
              <w:bottom w:val="single" w:sz="8" w:space="0" w:color="45A7E1"/>
              <w:right w:val="single" w:sz="8" w:space="0" w:color="45A7E1"/>
            </w:tcBorders>
            <w:shd w:val="clear" w:color="000000" w:fill="DBE4ED"/>
            <w:vAlign w:val="center"/>
          </w:tcPr>
          <w:p w14:paraId="2AC4B03E" w14:textId="45E66F3B" w:rsidR="00E20503" w:rsidRPr="006C5712" w:rsidRDefault="00D52585" w:rsidP="00E20503">
            <w:pPr>
              <w:spacing w:after="0" w:line="240" w:lineRule="auto"/>
              <w:jc w:val="center"/>
              <w:rPr>
                <w:rFonts w:asciiTheme="minorBidi" w:eastAsia="Times New Roman" w:hAnsiTheme="minorBidi" w:cstheme="minorBidi"/>
                <w:color w:val="000000"/>
                <w:sz w:val="20"/>
                <w:szCs w:val="20"/>
                <w:lang w:eastAsia="en-US"/>
              </w:rPr>
            </w:pPr>
            <w:r w:rsidRPr="006C5712">
              <w:rPr>
                <w:rFonts w:asciiTheme="minorBidi" w:eastAsia="Times New Roman" w:hAnsiTheme="minorBidi" w:cstheme="minorBidi"/>
                <w:color w:val="000000"/>
                <w:sz w:val="20"/>
                <w:szCs w:val="20"/>
                <w:lang w:eastAsia="en-US"/>
              </w:rPr>
              <w:t>51 (34%)</w:t>
            </w:r>
          </w:p>
        </w:tc>
      </w:tr>
      <w:tr w:rsidR="00E20503" w:rsidRPr="006C5712" w14:paraId="6F517CC8" w14:textId="77777777" w:rsidTr="00E20503">
        <w:trPr>
          <w:trHeight w:val="300"/>
        </w:trPr>
        <w:tc>
          <w:tcPr>
            <w:tcW w:w="4700" w:type="dxa"/>
            <w:tcBorders>
              <w:top w:val="nil"/>
              <w:left w:val="single" w:sz="8" w:space="0" w:color="45A7E1"/>
              <w:bottom w:val="single" w:sz="8" w:space="0" w:color="45A7E1"/>
              <w:right w:val="single" w:sz="8" w:space="0" w:color="45A7E1"/>
            </w:tcBorders>
            <w:shd w:val="clear" w:color="000000" w:fill="DBE4ED"/>
            <w:vAlign w:val="center"/>
            <w:hideMark/>
          </w:tcPr>
          <w:p w14:paraId="51D13403" w14:textId="77777777" w:rsidR="00E20503" w:rsidRPr="006C5712" w:rsidRDefault="00E20503" w:rsidP="00E20503">
            <w:pPr>
              <w:spacing w:after="0" w:line="240" w:lineRule="auto"/>
              <w:rPr>
                <w:rFonts w:asciiTheme="minorBidi" w:eastAsia="Times New Roman" w:hAnsiTheme="minorBidi" w:cstheme="minorBidi"/>
                <w:b/>
                <w:bCs/>
                <w:color w:val="000000"/>
                <w:sz w:val="20"/>
                <w:szCs w:val="20"/>
                <w:lang w:eastAsia="en-US"/>
              </w:rPr>
            </w:pPr>
            <w:r w:rsidRPr="006C5712">
              <w:rPr>
                <w:rFonts w:asciiTheme="minorBidi" w:eastAsia="Times New Roman" w:hAnsiTheme="minorBidi" w:cstheme="minorBidi"/>
                <w:b/>
                <w:bCs/>
                <w:color w:val="000000"/>
                <w:sz w:val="20"/>
                <w:szCs w:val="20"/>
                <w:lang w:eastAsia="en-US"/>
              </w:rPr>
              <w:t>Total</w:t>
            </w:r>
          </w:p>
        </w:tc>
        <w:tc>
          <w:tcPr>
            <w:tcW w:w="2400" w:type="dxa"/>
            <w:tcBorders>
              <w:top w:val="nil"/>
              <w:left w:val="nil"/>
              <w:bottom w:val="single" w:sz="8" w:space="0" w:color="45A7E1"/>
              <w:right w:val="single" w:sz="8" w:space="0" w:color="45A7E1"/>
            </w:tcBorders>
            <w:shd w:val="clear" w:color="000000" w:fill="DBE4ED"/>
            <w:vAlign w:val="center"/>
            <w:hideMark/>
          </w:tcPr>
          <w:p w14:paraId="68BE806B" w14:textId="125AE333" w:rsidR="00E20503" w:rsidRPr="006C5712" w:rsidRDefault="00D52585" w:rsidP="00E20503">
            <w:pPr>
              <w:spacing w:after="0" w:line="240" w:lineRule="auto"/>
              <w:jc w:val="center"/>
              <w:rPr>
                <w:rFonts w:asciiTheme="minorBidi" w:eastAsia="Times New Roman" w:hAnsiTheme="minorBidi" w:cstheme="minorBidi"/>
                <w:b/>
                <w:bCs/>
                <w:color w:val="000000"/>
                <w:sz w:val="20"/>
                <w:szCs w:val="20"/>
                <w:lang w:eastAsia="en-US"/>
              </w:rPr>
            </w:pPr>
            <w:r w:rsidRPr="006C5712">
              <w:rPr>
                <w:rFonts w:asciiTheme="minorBidi" w:eastAsia="Times New Roman" w:hAnsiTheme="minorBidi" w:cstheme="minorBidi"/>
                <w:b/>
                <w:bCs/>
                <w:color w:val="000000"/>
                <w:sz w:val="20"/>
                <w:szCs w:val="20"/>
                <w:lang w:eastAsia="en-US"/>
              </w:rPr>
              <w:t>148</w:t>
            </w:r>
          </w:p>
        </w:tc>
      </w:tr>
    </w:tbl>
    <w:p w14:paraId="6CC319E8" w14:textId="77777777" w:rsidR="005F5304" w:rsidRPr="003506E5" w:rsidRDefault="00960919" w:rsidP="005F5304">
      <w:pPr>
        <w:pStyle w:val="Heading1"/>
      </w:pPr>
      <w:bookmarkStart w:id="56" w:name="_Toc57215295"/>
      <w:r w:rsidRPr="003506E5">
        <w:lastRenderedPageBreak/>
        <w:t>Premiums and Costs</w:t>
      </w:r>
      <w:r w:rsidR="00846A29" w:rsidRPr="003506E5">
        <w:t xml:space="preserve"> in GB</w:t>
      </w:r>
      <w:bookmarkEnd w:id="56"/>
    </w:p>
    <w:p w14:paraId="13C5C03C" w14:textId="77777777" w:rsidR="005F5304" w:rsidRPr="003506E5" w:rsidRDefault="00846A29" w:rsidP="005F5304">
      <w:pPr>
        <w:pStyle w:val="BodyText"/>
      </w:pPr>
      <w:r w:rsidRPr="003506E5">
        <w:t>There were c</w:t>
      </w:r>
      <w:r w:rsidR="005F5304" w:rsidRPr="003506E5">
        <w:t>laims against admissions for common ailments</w:t>
      </w:r>
      <w:r w:rsidRPr="003506E5">
        <w:t xml:space="preserve">. </w:t>
      </w:r>
      <w:r w:rsidR="005F5304" w:rsidRPr="003506E5">
        <w:t xml:space="preserve">The following tables </w:t>
      </w:r>
      <w:r w:rsidRPr="003506E5">
        <w:t>provide</w:t>
      </w:r>
      <w:r w:rsidR="005F5304" w:rsidRPr="003506E5">
        <w:t xml:space="preserve"> details of claimed amount for top 10 surgical and non-surgical admissions with average, minimum and maximum amounts:</w:t>
      </w:r>
    </w:p>
    <w:p w14:paraId="5A635E29" w14:textId="1ADD1165" w:rsidR="00846A29" w:rsidRDefault="005F5304" w:rsidP="00CB5120">
      <w:pPr>
        <w:pStyle w:val="Caption"/>
      </w:pPr>
      <w:bookmarkStart w:id="57" w:name="_Toc57215240"/>
      <w:r w:rsidRPr="003506E5">
        <w:t xml:space="preserve">Table </w:t>
      </w:r>
      <w:r w:rsidR="00B76041" w:rsidRPr="003506E5">
        <w:fldChar w:fldCharType="begin"/>
      </w:r>
      <w:r w:rsidRPr="003506E5">
        <w:instrText xml:space="preserve"> SEQ Table \* ARABIC </w:instrText>
      </w:r>
      <w:r w:rsidR="00B76041" w:rsidRPr="003506E5">
        <w:fldChar w:fldCharType="separate"/>
      </w:r>
      <w:r w:rsidR="00AE4FA0">
        <w:rPr>
          <w:noProof/>
        </w:rPr>
        <w:t>20</w:t>
      </w:r>
      <w:r w:rsidR="00B76041" w:rsidRPr="003506E5">
        <w:fldChar w:fldCharType="end"/>
      </w:r>
      <w:r w:rsidRPr="003506E5">
        <w:t>: Claimed Amount against Non-surgical Admissions</w:t>
      </w:r>
      <w:r w:rsidR="00CB5120">
        <w:t>,</w:t>
      </w:r>
      <w:r w:rsidRPr="003506E5">
        <w:t xml:space="preserve"> J</w:t>
      </w:r>
      <w:r w:rsidR="00E20503" w:rsidRPr="003506E5">
        <w:t>uly</w:t>
      </w:r>
      <w:r w:rsidRPr="003506E5">
        <w:t>-</w:t>
      </w:r>
      <w:r w:rsidR="00E20503" w:rsidRPr="003506E5">
        <w:t>Dec</w:t>
      </w:r>
      <w:r w:rsidRPr="003506E5">
        <w:t xml:space="preserve"> 2020</w:t>
      </w:r>
      <w:bookmarkEnd w:id="57"/>
      <w:r w:rsidR="00CB5120">
        <w:t xml:space="preserve"> </w:t>
      </w:r>
      <w:r w:rsidR="00CB5120" w:rsidRPr="00CB5120">
        <w:rPr>
          <w:sz w:val="18"/>
          <w:szCs w:val="18"/>
        </w:rPr>
        <w:t>(</w:t>
      </w:r>
      <w:r w:rsidR="00CB5120">
        <w:rPr>
          <w:sz w:val="18"/>
          <w:szCs w:val="18"/>
        </w:rPr>
        <w:t xml:space="preserve">in </w:t>
      </w:r>
      <w:r w:rsidR="00CB5120" w:rsidRPr="00CB5120">
        <w:rPr>
          <w:sz w:val="18"/>
          <w:szCs w:val="18"/>
        </w:rPr>
        <w:t>PKR)</w:t>
      </w:r>
    </w:p>
    <w:tbl>
      <w:tblPr>
        <w:tblW w:w="9360" w:type="dxa"/>
        <w:tblInd w:w="-370" w:type="dxa"/>
        <w:tblBorders>
          <w:top w:val="single" w:sz="8" w:space="0" w:color="45A7E1"/>
          <w:left w:val="single" w:sz="8" w:space="0" w:color="45A7E1"/>
          <w:bottom w:val="single" w:sz="8" w:space="0" w:color="45A7E1"/>
          <w:right w:val="single" w:sz="8" w:space="0" w:color="45A7E1"/>
          <w:insideH w:val="single" w:sz="8" w:space="0" w:color="45A7E1"/>
          <w:insideV w:val="single" w:sz="8" w:space="0" w:color="45A7E1"/>
        </w:tblBorders>
        <w:tblLook w:val="04A0" w:firstRow="1" w:lastRow="0" w:firstColumn="1" w:lastColumn="0" w:noHBand="0" w:noVBand="1"/>
      </w:tblPr>
      <w:tblGrid>
        <w:gridCol w:w="3240"/>
        <w:gridCol w:w="1530"/>
        <w:gridCol w:w="1710"/>
        <w:gridCol w:w="1288"/>
        <w:gridCol w:w="1592"/>
      </w:tblGrid>
      <w:tr w:rsidR="00401D01" w:rsidRPr="00E05207" w14:paraId="5455F505" w14:textId="77777777" w:rsidTr="00D03A56">
        <w:trPr>
          <w:trHeight w:val="319"/>
        </w:trPr>
        <w:tc>
          <w:tcPr>
            <w:tcW w:w="3240" w:type="dxa"/>
            <w:shd w:val="clear" w:color="000000" w:fill="0B1F51"/>
            <w:vAlign w:val="center"/>
          </w:tcPr>
          <w:p w14:paraId="4E1999D7" w14:textId="77777777" w:rsidR="00401D01" w:rsidRPr="00E05207" w:rsidRDefault="00401D01" w:rsidP="00D03A56">
            <w:pPr>
              <w:spacing w:after="0" w:line="240" w:lineRule="auto"/>
              <w:rPr>
                <w:rFonts w:asciiTheme="minorBidi" w:eastAsia="Times New Roman" w:hAnsiTheme="minorBidi" w:cstheme="minorBidi"/>
                <w:color w:val="FFFFFF"/>
                <w:sz w:val="20"/>
                <w:szCs w:val="20"/>
                <w:lang w:eastAsia="en-US"/>
              </w:rPr>
            </w:pPr>
            <w:r w:rsidRPr="00E05207">
              <w:rPr>
                <w:rFonts w:asciiTheme="minorBidi" w:hAnsiTheme="minorBidi" w:cstheme="minorBidi"/>
                <w:sz w:val="20"/>
                <w:szCs w:val="20"/>
              </w:rPr>
              <w:t>Non-surgical Diagnosis</w:t>
            </w:r>
          </w:p>
        </w:tc>
        <w:tc>
          <w:tcPr>
            <w:tcW w:w="1530" w:type="dxa"/>
            <w:shd w:val="clear" w:color="000000" w:fill="0B1F51"/>
            <w:noWrap/>
            <w:vAlign w:val="center"/>
          </w:tcPr>
          <w:p w14:paraId="472FB688" w14:textId="77777777" w:rsidR="00401D01" w:rsidRPr="00E05207" w:rsidRDefault="00401D01" w:rsidP="00D03A56">
            <w:pPr>
              <w:spacing w:after="0" w:line="240" w:lineRule="auto"/>
              <w:jc w:val="center"/>
              <w:rPr>
                <w:rFonts w:asciiTheme="minorBidi" w:eastAsia="Times New Roman" w:hAnsiTheme="minorBidi" w:cstheme="minorBidi"/>
                <w:color w:val="FFFFFF"/>
                <w:sz w:val="20"/>
                <w:szCs w:val="20"/>
                <w:lang w:eastAsia="en-US"/>
              </w:rPr>
            </w:pPr>
            <w:r>
              <w:rPr>
                <w:rFonts w:asciiTheme="minorBidi" w:eastAsia="Times New Roman" w:hAnsiTheme="minorBidi" w:cstheme="minorBidi"/>
                <w:color w:val="FFFFFF"/>
                <w:sz w:val="20"/>
                <w:szCs w:val="20"/>
                <w:lang w:eastAsia="en-US"/>
              </w:rPr>
              <w:t>Total Admissions</w:t>
            </w:r>
          </w:p>
        </w:tc>
        <w:tc>
          <w:tcPr>
            <w:tcW w:w="1710" w:type="dxa"/>
            <w:shd w:val="clear" w:color="000000" w:fill="0B1F51"/>
            <w:vAlign w:val="center"/>
          </w:tcPr>
          <w:p w14:paraId="0C7A48B1" w14:textId="77777777" w:rsidR="00401D01" w:rsidRPr="00E05207" w:rsidRDefault="00401D01" w:rsidP="00D03A56">
            <w:pPr>
              <w:spacing w:after="0" w:line="240" w:lineRule="auto"/>
              <w:jc w:val="center"/>
              <w:rPr>
                <w:rFonts w:asciiTheme="minorBidi" w:eastAsia="Times New Roman" w:hAnsiTheme="minorBidi" w:cstheme="minorBidi"/>
                <w:color w:val="FFFFFF"/>
                <w:sz w:val="20"/>
                <w:szCs w:val="20"/>
                <w:lang w:eastAsia="en-US"/>
              </w:rPr>
            </w:pPr>
            <w:r>
              <w:rPr>
                <w:rFonts w:asciiTheme="minorBidi" w:eastAsia="Times New Roman" w:hAnsiTheme="minorBidi" w:cstheme="minorBidi"/>
                <w:color w:val="FFFFFF"/>
                <w:sz w:val="20"/>
                <w:szCs w:val="20"/>
                <w:lang w:eastAsia="en-US"/>
              </w:rPr>
              <w:t xml:space="preserve">Average Claimed Amount </w:t>
            </w:r>
          </w:p>
        </w:tc>
        <w:tc>
          <w:tcPr>
            <w:tcW w:w="1288" w:type="dxa"/>
            <w:shd w:val="clear" w:color="000000" w:fill="0B1F51"/>
            <w:noWrap/>
            <w:vAlign w:val="center"/>
          </w:tcPr>
          <w:p w14:paraId="4A435424" w14:textId="77777777" w:rsidR="00401D01" w:rsidRPr="00E05207" w:rsidRDefault="00401D01" w:rsidP="00D03A56">
            <w:pPr>
              <w:spacing w:after="0" w:line="240" w:lineRule="auto"/>
              <w:jc w:val="center"/>
              <w:rPr>
                <w:rFonts w:asciiTheme="minorBidi" w:eastAsia="Times New Roman" w:hAnsiTheme="minorBidi" w:cstheme="minorBidi"/>
                <w:color w:val="FFFFFF"/>
                <w:sz w:val="20"/>
                <w:szCs w:val="20"/>
                <w:lang w:eastAsia="en-US"/>
              </w:rPr>
            </w:pPr>
            <w:r>
              <w:rPr>
                <w:rFonts w:asciiTheme="minorBidi" w:eastAsia="Times New Roman" w:hAnsiTheme="minorBidi" w:cstheme="minorBidi"/>
                <w:color w:val="FFFFFF"/>
                <w:sz w:val="20"/>
                <w:szCs w:val="20"/>
                <w:lang w:eastAsia="en-US"/>
              </w:rPr>
              <w:t>Minimum</w:t>
            </w:r>
          </w:p>
        </w:tc>
        <w:tc>
          <w:tcPr>
            <w:tcW w:w="1592" w:type="dxa"/>
            <w:shd w:val="clear" w:color="000000" w:fill="0B1F51"/>
            <w:vAlign w:val="center"/>
          </w:tcPr>
          <w:p w14:paraId="13FFB881" w14:textId="77777777" w:rsidR="00401D01" w:rsidRPr="00E05207" w:rsidRDefault="00401D01" w:rsidP="00D03A56">
            <w:pPr>
              <w:spacing w:after="0" w:line="240" w:lineRule="auto"/>
              <w:jc w:val="center"/>
              <w:rPr>
                <w:rFonts w:asciiTheme="minorBidi" w:eastAsia="Times New Roman" w:hAnsiTheme="minorBidi" w:cstheme="minorBidi"/>
                <w:color w:val="FFFFFF"/>
                <w:sz w:val="20"/>
                <w:szCs w:val="20"/>
                <w:lang w:eastAsia="en-US"/>
              </w:rPr>
            </w:pPr>
            <w:r>
              <w:rPr>
                <w:rFonts w:asciiTheme="minorBidi" w:eastAsia="Times New Roman" w:hAnsiTheme="minorBidi" w:cstheme="minorBidi"/>
                <w:color w:val="FFFFFF"/>
                <w:sz w:val="20"/>
                <w:szCs w:val="20"/>
                <w:lang w:eastAsia="en-US"/>
              </w:rPr>
              <w:t>Maximum</w:t>
            </w:r>
          </w:p>
        </w:tc>
      </w:tr>
      <w:tr w:rsidR="00401D01" w:rsidRPr="00E05207" w14:paraId="186A7E89" w14:textId="77777777" w:rsidTr="00D03A56">
        <w:trPr>
          <w:trHeight w:val="288"/>
        </w:trPr>
        <w:tc>
          <w:tcPr>
            <w:tcW w:w="3240" w:type="dxa"/>
            <w:shd w:val="clear" w:color="000000" w:fill="DBE4ED"/>
            <w:noWrap/>
            <w:vAlign w:val="bottom"/>
          </w:tcPr>
          <w:p w14:paraId="00A59796" w14:textId="77777777" w:rsidR="00401D01" w:rsidRPr="00E05207" w:rsidRDefault="00401D01" w:rsidP="00D03A56">
            <w:pPr>
              <w:spacing w:after="0" w:line="240" w:lineRule="auto"/>
              <w:rPr>
                <w:rFonts w:asciiTheme="minorBidi" w:eastAsia="Times New Roman" w:hAnsiTheme="minorBidi" w:cstheme="minorBidi"/>
                <w:color w:val="000000"/>
                <w:sz w:val="20"/>
                <w:szCs w:val="20"/>
                <w:lang w:eastAsia="en-US"/>
              </w:rPr>
            </w:pPr>
            <w:r w:rsidRPr="00E05207">
              <w:rPr>
                <w:rFonts w:asciiTheme="minorBidi" w:hAnsiTheme="minorBidi" w:cstheme="minorBidi"/>
                <w:color w:val="000000"/>
                <w:sz w:val="20"/>
                <w:szCs w:val="20"/>
              </w:rPr>
              <w:t>Gastroenteritis</w:t>
            </w:r>
          </w:p>
        </w:tc>
        <w:tc>
          <w:tcPr>
            <w:tcW w:w="1530" w:type="dxa"/>
            <w:shd w:val="clear" w:color="000000" w:fill="DBE4ED"/>
            <w:noWrap/>
            <w:vAlign w:val="center"/>
          </w:tcPr>
          <w:p w14:paraId="6BB51601" w14:textId="77777777" w:rsidR="00401D01" w:rsidRDefault="00401D01" w:rsidP="00D03A56">
            <w:pPr>
              <w:spacing w:after="0" w:line="240" w:lineRule="auto"/>
              <w:jc w:val="center"/>
              <w:rPr>
                <w:rFonts w:ascii="Calibri" w:hAnsi="Calibri" w:cs="Calibri"/>
                <w:color w:val="000000"/>
                <w:lang w:val="en-US" w:eastAsia="en-US"/>
              </w:rPr>
            </w:pPr>
            <w:r>
              <w:rPr>
                <w:rFonts w:ascii="Calibri" w:hAnsi="Calibri" w:cs="Calibri"/>
                <w:color w:val="000000"/>
              </w:rPr>
              <w:t>67</w:t>
            </w:r>
          </w:p>
        </w:tc>
        <w:tc>
          <w:tcPr>
            <w:tcW w:w="1710" w:type="dxa"/>
            <w:shd w:val="clear" w:color="000000" w:fill="DBE4ED"/>
            <w:noWrap/>
            <w:vAlign w:val="center"/>
          </w:tcPr>
          <w:p w14:paraId="1D1A0D44" w14:textId="7B0A9EB3" w:rsidR="00401D01" w:rsidRDefault="00401D01" w:rsidP="00D03A56">
            <w:pPr>
              <w:spacing w:after="0" w:line="240" w:lineRule="auto"/>
              <w:jc w:val="center"/>
              <w:rPr>
                <w:rFonts w:ascii="Calibri" w:hAnsi="Calibri" w:cs="Calibri"/>
                <w:color w:val="000000"/>
                <w:lang w:val="en-US" w:eastAsia="en-US"/>
              </w:rPr>
            </w:pPr>
            <w:r>
              <w:rPr>
                <w:rFonts w:ascii="Calibri" w:hAnsi="Calibri" w:cs="Calibri"/>
                <w:color w:val="000000"/>
              </w:rPr>
              <w:t>12</w:t>
            </w:r>
            <w:r w:rsidR="008E44F3">
              <w:rPr>
                <w:rFonts w:ascii="Calibri" w:hAnsi="Calibri" w:cs="Calibri"/>
                <w:color w:val="000000"/>
              </w:rPr>
              <w:t>,</w:t>
            </w:r>
            <w:r>
              <w:rPr>
                <w:rFonts w:ascii="Calibri" w:hAnsi="Calibri" w:cs="Calibri"/>
                <w:color w:val="000000"/>
              </w:rPr>
              <w:t>177</w:t>
            </w:r>
          </w:p>
        </w:tc>
        <w:tc>
          <w:tcPr>
            <w:tcW w:w="1288" w:type="dxa"/>
            <w:shd w:val="clear" w:color="000000" w:fill="DBE4ED"/>
            <w:noWrap/>
            <w:vAlign w:val="center"/>
          </w:tcPr>
          <w:p w14:paraId="0B7BB41C" w14:textId="4C02F5B0" w:rsidR="00401D01" w:rsidRDefault="00401D01" w:rsidP="00D03A56">
            <w:pPr>
              <w:spacing w:after="0" w:line="240" w:lineRule="auto"/>
              <w:jc w:val="center"/>
              <w:rPr>
                <w:rFonts w:ascii="Calibri" w:hAnsi="Calibri" w:cs="Calibri"/>
                <w:color w:val="000000"/>
                <w:lang w:val="en-US" w:eastAsia="en-US"/>
              </w:rPr>
            </w:pPr>
            <w:r>
              <w:rPr>
                <w:rFonts w:ascii="Calibri" w:hAnsi="Calibri" w:cs="Calibri"/>
                <w:color w:val="000000"/>
              </w:rPr>
              <w:t>1</w:t>
            </w:r>
            <w:r w:rsidR="008E44F3">
              <w:rPr>
                <w:rFonts w:ascii="Calibri" w:hAnsi="Calibri" w:cs="Calibri"/>
                <w:color w:val="000000"/>
              </w:rPr>
              <w:t>,</w:t>
            </w:r>
            <w:r>
              <w:rPr>
                <w:rFonts w:ascii="Calibri" w:hAnsi="Calibri" w:cs="Calibri"/>
                <w:color w:val="000000"/>
              </w:rPr>
              <w:t>849</w:t>
            </w:r>
          </w:p>
        </w:tc>
        <w:tc>
          <w:tcPr>
            <w:tcW w:w="1592" w:type="dxa"/>
            <w:shd w:val="clear" w:color="000000" w:fill="DBE4ED"/>
            <w:noWrap/>
            <w:vAlign w:val="center"/>
          </w:tcPr>
          <w:p w14:paraId="23B957D0" w14:textId="131C4EA8" w:rsidR="00401D01" w:rsidRDefault="00401D01" w:rsidP="00D03A56">
            <w:pPr>
              <w:spacing w:after="0" w:line="240" w:lineRule="auto"/>
              <w:jc w:val="center"/>
              <w:rPr>
                <w:rFonts w:ascii="Calibri" w:hAnsi="Calibri" w:cs="Calibri"/>
                <w:color w:val="000000"/>
                <w:lang w:val="en-US" w:eastAsia="en-US"/>
              </w:rPr>
            </w:pPr>
            <w:r>
              <w:rPr>
                <w:rFonts w:ascii="Calibri" w:hAnsi="Calibri" w:cs="Calibri"/>
                <w:color w:val="000000"/>
              </w:rPr>
              <w:t>40</w:t>
            </w:r>
            <w:r w:rsidR="008E44F3">
              <w:rPr>
                <w:rFonts w:ascii="Calibri" w:hAnsi="Calibri" w:cs="Calibri"/>
                <w:color w:val="000000"/>
              </w:rPr>
              <w:t>,</w:t>
            </w:r>
            <w:r>
              <w:rPr>
                <w:rFonts w:ascii="Calibri" w:hAnsi="Calibri" w:cs="Calibri"/>
                <w:color w:val="000000"/>
              </w:rPr>
              <w:t>000</w:t>
            </w:r>
          </w:p>
        </w:tc>
      </w:tr>
      <w:tr w:rsidR="00401D01" w:rsidRPr="00E05207" w14:paraId="49701C7D" w14:textId="77777777" w:rsidTr="00D03A56">
        <w:trPr>
          <w:trHeight w:val="288"/>
        </w:trPr>
        <w:tc>
          <w:tcPr>
            <w:tcW w:w="3240" w:type="dxa"/>
            <w:shd w:val="clear" w:color="000000" w:fill="DBE4ED"/>
            <w:noWrap/>
            <w:vAlign w:val="bottom"/>
          </w:tcPr>
          <w:p w14:paraId="48851B8B" w14:textId="77777777" w:rsidR="00401D01" w:rsidRPr="00E05207" w:rsidRDefault="00401D01" w:rsidP="00D03A56">
            <w:pPr>
              <w:spacing w:after="0" w:line="240" w:lineRule="auto"/>
              <w:rPr>
                <w:rFonts w:asciiTheme="minorBidi" w:eastAsia="Times New Roman" w:hAnsiTheme="minorBidi" w:cstheme="minorBidi"/>
                <w:color w:val="000000"/>
                <w:sz w:val="20"/>
                <w:szCs w:val="20"/>
                <w:lang w:eastAsia="en-US"/>
              </w:rPr>
            </w:pPr>
            <w:r w:rsidRPr="00E05207">
              <w:rPr>
                <w:rFonts w:asciiTheme="minorBidi" w:hAnsiTheme="minorBidi" w:cstheme="minorBidi"/>
                <w:color w:val="000000"/>
                <w:sz w:val="20"/>
                <w:szCs w:val="20"/>
              </w:rPr>
              <w:t>Fever, unspecific</w:t>
            </w:r>
          </w:p>
        </w:tc>
        <w:tc>
          <w:tcPr>
            <w:tcW w:w="1530" w:type="dxa"/>
            <w:shd w:val="clear" w:color="000000" w:fill="DBE4ED"/>
            <w:noWrap/>
            <w:vAlign w:val="center"/>
          </w:tcPr>
          <w:p w14:paraId="357E922B" w14:textId="77777777" w:rsidR="00401D01" w:rsidRDefault="00401D01" w:rsidP="00D03A56">
            <w:pPr>
              <w:spacing w:after="0" w:line="240" w:lineRule="auto"/>
              <w:jc w:val="center"/>
              <w:rPr>
                <w:rFonts w:ascii="Calibri" w:hAnsi="Calibri" w:cs="Calibri"/>
                <w:color w:val="000000"/>
              </w:rPr>
            </w:pPr>
            <w:r>
              <w:rPr>
                <w:rFonts w:ascii="Calibri" w:hAnsi="Calibri" w:cs="Calibri"/>
                <w:color w:val="000000"/>
              </w:rPr>
              <w:t>22</w:t>
            </w:r>
          </w:p>
        </w:tc>
        <w:tc>
          <w:tcPr>
            <w:tcW w:w="1710" w:type="dxa"/>
            <w:shd w:val="clear" w:color="000000" w:fill="DBE4ED"/>
            <w:noWrap/>
            <w:vAlign w:val="center"/>
          </w:tcPr>
          <w:p w14:paraId="53BA39F6" w14:textId="4E3A5BA7" w:rsidR="00401D01" w:rsidRDefault="00401D01" w:rsidP="00D03A56">
            <w:pPr>
              <w:spacing w:after="0" w:line="240" w:lineRule="auto"/>
              <w:jc w:val="center"/>
              <w:rPr>
                <w:rFonts w:ascii="Calibri" w:hAnsi="Calibri" w:cs="Calibri"/>
                <w:color w:val="000000"/>
              </w:rPr>
            </w:pPr>
            <w:r>
              <w:rPr>
                <w:rFonts w:ascii="Calibri" w:hAnsi="Calibri" w:cs="Calibri"/>
                <w:color w:val="000000"/>
              </w:rPr>
              <w:t>10</w:t>
            </w:r>
            <w:r w:rsidR="008E44F3">
              <w:rPr>
                <w:rFonts w:ascii="Calibri" w:hAnsi="Calibri" w:cs="Calibri"/>
                <w:color w:val="000000"/>
              </w:rPr>
              <w:t>,</w:t>
            </w:r>
            <w:r>
              <w:rPr>
                <w:rFonts w:ascii="Calibri" w:hAnsi="Calibri" w:cs="Calibri"/>
                <w:color w:val="000000"/>
              </w:rPr>
              <w:t>813</w:t>
            </w:r>
          </w:p>
        </w:tc>
        <w:tc>
          <w:tcPr>
            <w:tcW w:w="1288" w:type="dxa"/>
            <w:shd w:val="clear" w:color="000000" w:fill="DBE4ED"/>
            <w:noWrap/>
            <w:vAlign w:val="center"/>
          </w:tcPr>
          <w:p w14:paraId="2A4E7101" w14:textId="40549C24" w:rsidR="00401D01" w:rsidRDefault="00401D01" w:rsidP="00D03A56">
            <w:pPr>
              <w:spacing w:after="0" w:line="240" w:lineRule="auto"/>
              <w:jc w:val="center"/>
              <w:rPr>
                <w:rFonts w:ascii="Calibri" w:hAnsi="Calibri" w:cs="Calibri"/>
                <w:color w:val="000000"/>
              </w:rPr>
            </w:pPr>
            <w:r>
              <w:rPr>
                <w:rFonts w:ascii="Calibri" w:hAnsi="Calibri" w:cs="Calibri"/>
                <w:color w:val="000000"/>
              </w:rPr>
              <w:t>2</w:t>
            </w:r>
            <w:r w:rsidR="008E44F3">
              <w:rPr>
                <w:rFonts w:ascii="Calibri" w:hAnsi="Calibri" w:cs="Calibri"/>
                <w:color w:val="000000"/>
              </w:rPr>
              <w:t>,</w:t>
            </w:r>
            <w:r>
              <w:rPr>
                <w:rFonts w:ascii="Calibri" w:hAnsi="Calibri" w:cs="Calibri"/>
                <w:color w:val="000000"/>
              </w:rPr>
              <w:t>496</w:t>
            </w:r>
          </w:p>
        </w:tc>
        <w:tc>
          <w:tcPr>
            <w:tcW w:w="1592" w:type="dxa"/>
            <w:shd w:val="clear" w:color="000000" w:fill="DBE4ED"/>
            <w:noWrap/>
            <w:vAlign w:val="center"/>
          </w:tcPr>
          <w:p w14:paraId="1E51F6A7" w14:textId="5E1B95BF" w:rsidR="00401D01" w:rsidRDefault="00401D01" w:rsidP="00D03A56">
            <w:pPr>
              <w:spacing w:after="0" w:line="240" w:lineRule="auto"/>
              <w:jc w:val="center"/>
              <w:rPr>
                <w:rFonts w:ascii="Calibri" w:hAnsi="Calibri" w:cs="Calibri"/>
                <w:color w:val="000000"/>
              </w:rPr>
            </w:pPr>
            <w:r>
              <w:rPr>
                <w:rFonts w:ascii="Calibri" w:hAnsi="Calibri" w:cs="Calibri"/>
                <w:color w:val="000000"/>
              </w:rPr>
              <w:t>40</w:t>
            </w:r>
            <w:r w:rsidR="008E44F3">
              <w:rPr>
                <w:rFonts w:ascii="Calibri" w:hAnsi="Calibri" w:cs="Calibri"/>
                <w:color w:val="000000"/>
              </w:rPr>
              <w:t>,</w:t>
            </w:r>
            <w:r>
              <w:rPr>
                <w:rFonts w:ascii="Calibri" w:hAnsi="Calibri" w:cs="Calibri"/>
                <w:color w:val="000000"/>
              </w:rPr>
              <w:t>000</w:t>
            </w:r>
          </w:p>
        </w:tc>
      </w:tr>
      <w:tr w:rsidR="00401D01" w:rsidRPr="00E05207" w14:paraId="46E2B6E9" w14:textId="77777777" w:rsidTr="00D03A56">
        <w:trPr>
          <w:trHeight w:val="288"/>
        </w:trPr>
        <w:tc>
          <w:tcPr>
            <w:tcW w:w="3240" w:type="dxa"/>
            <w:shd w:val="clear" w:color="000000" w:fill="DBE4ED"/>
            <w:noWrap/>
            <w:vAlign w:val="bottom"/>
          </w:tcPr>
          <w:p w14:paraId="6D01CD9C" w14:textId="77777777" w:rsidR="00401D01" w:rsidRPr="00E05207" w:rsidRDefault="00401D01" w:rsidP="00D03A56">
            <w:pPr>
              <w:spacing w:after="0" w:line="240" w:lineRule="auto"/>
              <w:rPr>
                <w:rFonts w:asciiTheme="minorBidi" w:eastAsia="Times New Roman" w:hAnsiTheme="minorBidi" w:cstheme="minorBidi"/>
                <w:color w:val="000000"/>
                <w:sz w:val="20"/>
                <w:szCs w:val="20"/>
                <w:lang w:eastAsia="en-US"/>
              </w:rPr>
            </w:pPr>
            <w:r w:rsidRPr="00E05207">
              <w:rPr>
                <w:rFonts w:asciiTheme="minorBidi" w:hAnsiTheme="minorBidi" w:cstheme="minorBidi"/>
                <w:color w:val="000000"/>
                <w:sz w:val="20"/>
                <w:szCs w:val="20"/>
              </w:rPr>
              <w:t>Hypertension</w:t>
            </w:r>
          </w:p>
        </w:tc>
        <w:tc>
          <w:tcPr>
            <w:tcW w:w="1530" w:type="dxa"/>
            <w:shd w:val="clear" w:color="000000" w:fill="DBE4ED"/>
            <w:noWrap/>
            <w:vAlign w:val="center"/>
          </w:tcPr>
          <w:p w14:paraId="7939D094" w14:textId="77777777" w:rsidR="00401D01" w:rsidRDefault="00401D01" w:rsidP="00D03A56">
            <w:pPr>
              <w:spacing w:after="0" w:line="240" w:lineRule="auto"/>
              <w:jc w:val="center"/>
              <w:rPr>
                <w:rFonts w:ascii="Calibri" w:hAnsi="Calibri" w:cs="Calibri"/>
                <w:color w:val="000000"/>
              </w:rPr>
            </w:pPr>
            <w:r>
              <w:rPr>
                <w:rFonts w:ascii="Calibri" w:hAnsi="Calibri" w:cs="Calibri"/>
                <w:color w:val="000000"/>
              </w:rPr>
              <w:t>18</w:t>
            </w:r>
          </w:p>
        </w:tc>
        <w:tc>
          <w:tcPr>
            <w:tcW w:w="1710" w:type="dxa"/>
            <w:shd w:val="clear" w:color="000000" w:fill="DBE4ED"/>
            <w:noWrap/>
            <w:vAlign w:val="center"/>
          </w:tcPr>
          <w:p w14:paraId="3A03C829" w14:textId="16FF76B9" w:rsidR="00401D01" w:rsidRDefault="00401D01" w:rsidP="00D03A56">
            <w:pPr>
              <w:spacing w:after="0" w:line="240" w:lineRule="auto"/>
              <w:jc w:val="center"/>
              <w:rPr>
                <w:rFonts w:ascii="Calibri" w:hAnsi="Calibri" w:cs="Calibri"/>
                <w:color w:val="000000"/>
              </w:rPr>
            </w:pPr>
            <w:r>
              <w:rPr>
                <w:rFonts w:ascii="Calibri" w:hAnsi="Calibri" w:cs="Calibri"/>
                <w:color w:val="000000"/>
              </w:rPr>
              <w:t>15</w:t>
            </w:r>
            <w:r w:rsidR="008E44F3">
              <w:rPr>
                <w:rFonts w:ascii="Calibri" w:hAnsi="Calibri" w:cs="Calibri"/>
                <w:color w:val="000000"/>
              </w:rPr>
              <w:t>,</w:t>
            </w:r>
            <w:r>
              <w:rPr>
                <w:rFonts w:ascii="Calibri" w:hAnsi="Calibri" w:cs="Calibri"/>
                <w:color w:val="000000"/>
              </w:rPr>
              <w:t>624</w:t>
            </w:r>
          </w:p>
        </w:tc>
        <w:tc>
          <w:tcPr>
            <w:tcW w:w="1288" w:type="dxa"/>
            <w:shd w:val="clear" w:color="000000" w:fill="DBE4ED"/>
            <w:noWrap/>
            <w:vAlign w:val="center"/>
          </w:tcPr>
          <w:p w14:paraId="3E229341" w14:textId="0F5C1B76" w:rsidR="00401D01" w:rsidRDefault="00401D01" w:rsidP="00D03A56">
            <w:pPr>
              <w:spacing w:after="0" w:line="240" w:lineRule="auto"/>
              <w:jc w:val="center"/>
              <w:rPr>
                <w:rFonts w:ascii="Calibri" w:hAnsi="Calibri" w:cs="Calibri"/>
                <w:color w:val="000000"/>
              </w:rPr>
            </w:pPr>
            <w:r>
              <w:rPr>
                <w:rFonts w:ascii="Calibri" w:hAnsi="Calibri" w:cs="Calibri"/>
                <w:color w:val="000000"/>
              </w:rPr>
              <w:t>3</w:t>
            </w:r>
            <w:r w:rsidR="008E44F3">
              <w:rPr>
                <w:rFonts w:ascii="Calibri" w:hAnsi="Calibri" w:cs="Calibri"/>
                <w:color w:val="000000"/>
              </w:rPr>
              <w:t>,</w:t>
            </w:r>
            <w:r>
              <w:rPr>
                <w:rFonts w:ascii="Calibri" w:hAnsi="Calibri" w:cs="Calibri"/>
                <w:color w:val="000000"/>
              </w:rPr>
              <w:t>286</w:t>
            </w:r>
          </w:p>
        </w:tc>
        <w:tc>
          <w:tcPr>
            <w:tcW w:w="1592" w:type="dxa"/>
            <w:shd w:val="clear" w:color="000000" w:fill="DBE4ED"/>
            <w:noWrap/>
            <w:vAlign w:val="center"/>
          </w:tcPr>
          <w:p w14:paraId="4F77ED98" w14:textId="1D1232DB" w:rsidR="00401D01" w:rsidRDefault="00401D01" w:rsidP="00D03A56">
            <w:pPr>
              <w:spacing w:after="0" w:line="240" w:lineRule="auto"/>
              <w:jc w:val="center"/>
              <w:rPr>
                <w:rFonts w:ascii="Calibri" w:hAnsi="Calibri" w:cs="Calibri"/>
                <w:color w:val="000000"/>
              </w:rPr>
            </w:pPr>
            <w:r>
              <w:rPr>
                <w:rFonts w:ascii="Calibri" w:hAnsi="Calibri" w:cs="Calibri"/>
                <w:color w:val="000000"/>
              </w:rPr>
              <w:t>40</w:t>
            </w:r>
            <w:r w:rsidR="008E44F3">
              <w:rPr>
                <w:rFonts w:ascii="Calibri" w:hAnsi="Calibri" w:cs="Calibri"/>
                <w:color w:val="000000"/>
              </w:rPr>
              <w:t>,</w:t>
            </w:r>
            <w:r>
              <w:rPr>
                <w:rFonts w:ascii="Calibri" w:hAnsi="Calibri" w:cs="Calibri"/>
                <w:color w:val="000000"/>
              </w:rPr>
              <w:t>000</w:t>
            </w:r>
          </w:p>
        </w:tc>
      </w:tr>
      <w:tr w:rsidR="00401D01" w:rsidRPr="00E05207" w14:paraId="79F7D9A7" w14:textId="77777777" w:rsidTr="00D03A56">
        <w:trPr>
          <w:trHeight w:val="288"/>
        </w:trPr>
        <w:tc>
          <w:tcPr>
            <w:tcW w:w="3240" w:type="dxa"/>
            <w:shd w:val="clear" w:color="000000" w:fill="DBE4ED"/>
            <w:noWrap/>
            <w:vAlign w:val="bottom"/>
          </w:tcPr>
          <w:p w14:paraId="028FE88F" w14:textId="77777777" w:rsidR="00401D01" w:rsidRPr="00E05207" w:rsidRDefault="00401D01" w:rsidP="00D03A56">
            <w:pPr>
              <w:spacing w:after="0" w:line="240" w:lineRule="auto"/>
              <w:rPr>
                <w:rFonts w:asciiTheme="minorBidi" w:eastAsia="Times New Roman" w:hAnsiTheme="minorBidi" w:cstheme="minorBidi"/>
                <w:color w:val="000000"/>
                <w:sz w:val="20"/>
                <w:szCs w:val="20"/>
                <w:lang w:eastAsia="en-US"/>
              </w:rPr>
            </w:pPr>
            <w:r w:rsidRPr="00E05207">
              <w:rPr>
                <w:rFonts w:asciiTheme="minorBidi" w:hAnsiTheme="minorBidi" w:cstheme="minorBidi"/>
                <w:color w:val="000000"/>
                <w:sz w:val="20"/>
                <w:szCs w:val="20"/>
              </w:rPr>
              <w:t>COVID positive</w:t>
            </w:r>
          </w:p>
        </w:tc>
        <w:tc>
          <w:tcPr>
            <w:tcW w:w="1530" w:type="dxa"/>
            <w:shd w:val="clear" w:color="000000" w:fill="DBE4ED"/>
            <w:noWrap/>
            <w:vAlign w:val="center"/>
          </w:tcPr>
          <w:p w14:paraId="65D9563E" w14:textId="77777777" w:rsidR="00401D01" w:rsidRDefault="00401D01" w:rsidP="00D03A56">
            <w:pPr>
              <w:spacing w:after="0" w:line="240" w:lineRule="auto"/>
              <w:jc w:val="center"/>
              <w:rPr>
                <w:rFonts w:ascii="Calibri" w:hAnsi="Calibri" w:cs="Calibri"/>
                <w:color w:val="000000"/>
              </w:rPr>
            </w:pPr>
            <w:r>
              <w:rPr>
                <w:rFonts w:ascii="Calibri" w:hAnsi="Calibri" w:cs="Calibri"/>
                <w:color w:val="000000"/>
              </w:rPr>
              <w:t>16</w:t>
            </w:r>
          </w:p>
        </w:tc>
        <w:tc>
          <w:tcPr>
            <w:tcW w:w="1710" w:type="dxa"/>
            <w:shd w:val="clear" w:color="000000" w:fill="DBE4ED"/>
            <w:noWrap/>
            <w:vAlign w:val="center"/>
          </w:tcPr>
          <w:p w14:paraId="5DCE6D61" w14:textId="5D086337" w:rsidR="00401D01" w:rsidRDefault="00401D01" w:rsidP="00D03A56">
            <w:pPr>
              <w:spacing w:after="0" w:line="240" w:lineRule="auto"/>
              <w:jc w:val="center"/>
              <w:rPr>
                <w:rFonts w:ascii="Calibri" w:hAnsi="Calibri" w:cs="Calibri"/>
                <w:color w:val="000000"/>
              </w:rPr>
            </w:pPr>
            <w:r>
              <w:rPr>
                <w:rFonts w:ascii="Calibri" w:hAnsi="Calibri" w:cs="Calibri"/>
                <w:color w:val="000000"/>
              </w:rPr>
              <w:t>16</w:t>
            </w:r>
            <w:r w:rsidR="008E44F3">
              <w:rPr>
                <w:rFonts w:ascii="Calibri" w:hAnsi="Calibri" w:cs="Calibri"/>
                <w:color w:val="000000"/>
              </w:rPr>
              <w:t>,</w:t>
            </w:r>
            <w:r>
              <w:rPr>
                <w:rFonts w:ascii="Calibri" w:hAnsi="Calibri" w:cs="Calibri"/>
                <w:color w:val="000000"/>
              </w:rPr>
              <w:t>738</w:t>
            </w:r>
          </w:p>
        </w:tc>
        <w:tc>
          <w:tcPr>
            <w:tcW w:w="1288" w:type="dxa"/>
            <w:shd w:val="clear" w:color="000000" w:fill="DBE4ED"/>
            <w:noWrap/>
            <w:vAlign w:val="center"/>
          </w:tcPr>
          <w:p w14:paraId="5346FF73" w14:textId="03405908" w:rsidR="00401D01" w:rsidRDefault="00401D01" w:rsidP="00D03A56">
            <w:pPr>
              <w:spacing w:after="0" w:line="240" w:lineRule="auto"/>
              <w:jc w:val="center"/>
              <w:rPr>
                <w:rFonts w:ascii="Calibri" w:hAnsi="Calibri" w:cs="Calibri"/>
                <w:color w:val="000000"/>
              </w:rPr>
            </w:pPr>
            <w:r>
              <w:rPr>
                <w:rFonts w:ascii="Calibri" w:hAnsi="Calibri" w:cs="Calibri"/>
                <w:color w:val="000000"/>
              </w:rPr>
              <w:t>3</w:t>
            </w:r>
            <w:r w:rsidR="008E44F3">
              <w:rPr>
                <w:rFonts w:ascii="Calibri" w:hAnsi="Calibri" w:cs="Calibri"/>
                <w:color w:val="000000"/>
              </w:rPr>
              <w:t>,</w:t>
            </w:r>
            <w:r>
              <w:rPr>
                <w:rFonts w:ascii="Calibri" w:hAnsi="Calibri" w:cs="Calibri"/>
                <w:color w:val="000000"/>
              </w:rPr>
              <w:t>048</w:t>
            </w:r>
          </w:p>
        </w:tc>
        <w:tc>
          <w:tcPr>
            <w:tcW w:w="1592" w:type="dxa"/>
            <w:shd w:val="clear" w:color="000000" w:fill="DBE4ED"/>
            <w:noWrap/>
            <w:vAlign w:val="center"/>
          </w:tcPr>
          <w:p w14:paraId="65C2B71E" w14:textId="7CBDBD58" w:rsidR="00401D01" w:rsidRDefault="00401D01" w:rsidP="00D03A56">
            <w:pPr>
              <w:spacing w:after="0" w:line="240" w:lineRule="auto"/>
              <w:jc w:val="center"/>
              <w:rPr>
                <w:rFonts w:ascii="Calibri" w:hAnsi="Calibri" w:cs="Calibri"/>
                <w:color w:val="000000"/>
              </w:rPr>
            </w:pPr>
            <w:r>
              <w:rPr>
                <w:rFonts w:ascii="Calibri" w:hAnsi="Calibri" w:cs="Calibri"/>
                <w:color w:val="000000"/>
              </w:rPr>
              <w:t>40</w:t>
            </w:r>
            <w:r w:rsidR="008E44F3">
              <w:rPr>
                <w:rFonts w:ascii="Calibri" w:hAnsi="Calibri" w:cs="Calibri"/>
                <w:color w:val="000000"/>
              </w:rPr>
              <w:t>,</w:t>
            </w:r>
            <w:r>
              <w:rPr>
                <w:rFonts w:ascii="Calibri" w:hAnsi="Calibri" w:cs="Calibri"/>
                <w:color w:val="000000"/>
              </w:rPr>
              <w:t>000</w:t>
            </w:r>
          </w:p>
        </w:tc>
      </w:tr>
      <w:tr w:rsidR="00401D01" w:rsidRPr="00E05207" w14:paraId="1049696D" w14:textId="77777777" w:rsidTr="00D03A56">
        <w:trPr>
          <w:trHeight w:val="288"/>
        </w:trPr>
        <w:tc>
          <w:tcPr>
            <w:tcW w:w="3240" w:type="dxa"/>
            <w:shd w:val="clear" w:color="000000" w:fill="DBE4ED"/>
            <w:noWrap/>
            <w:vAlign w:val="bottom"/>
          </w:tcPr>
          <w:p w14:paraId="3465E11E" w14:textId="77777777" w:rsidR="00401D01" w:rsidRPr="00E05207" w:rsidRDefault="00401D01" w:rsidP="00D03A56">
            <w:pPr>
              <w:spacing w:after="0" w:line="240" w:lineRule="auto"/>
              <w:rPr>
                <w:rFonts w:asciiTheme="minorBidi" w:eastAsia="Times New Roman" w:hAnsiTheme="minorBidi" w:cstheme="minorBidi"/>
                <w:color w:val="000000"/>
                <w:sz w:val="20"/>
                <w:szCs w:val="20"/>
                <w:lang w:eastAsia="en-US"/>
              </w:rPr>
            </w:pPr>
            <w:r w:rsidRPr="00E05207">
              <w:rPr>
                <w:rFonts w:asciiTheme="minorBidi" w:hAnsiTheme="minorBidi" w:cstheme="minorBidi"/>
                <w:color w:val="000000"/>
                <w:sz w:val="20"/>
                <w:szCs w:val="20"/>
              </w:rPr>
              <w:t>Urinary Tract Infection</w:t>
            </w:r>
          </w:p>
        </w:tc>
        <w:tc>
          <w:tcPr>
            <w:tcW w:w="1530" w:type="dxa"/>
            <w:shd w:val="clear" w:color="000000" w:fill="DBE4ED"/>
            <w:noWrap/>
            <w:vAlign w:val="center"/>
          </w:tcPr>
          <w:p w14:paraId="437A02B5" w14:textId="77777777" w:rsidR="00401D01" w:rsidRDefault="00401D01" w:rsidP="00D03A56">
            <w:pPr>
              <w:spacing w:after="0" w:line="240" w:lineRule="auto"/>
              <w:jc w:val="center"/>
              <w:rPr>
                <w:rFonts w:ascii="Calibri" w:hAnsi="Calibri" w:cs="Calibri"/>
                <w:color w:val="000000"/>
              </w:rPr>
            </w:pPr>
            <w:r>
              <w:rPr>
                <w:rFonts w:ascii="Calibri" w:hAnsi="Calibri" w:cs="Calibri"/>
                <w:color w:val="000000"/>
              </w:rPr>
              <w:t>16</w:t>
            </w:r>
          </w:p>
        </w:tc>
        <w:tc>
          <w:tcPr>
            <w:tcW w:w="1710" w:type="dxa"/>
            <w:shd w:val="clear" w:color="000000" w:fill="DBE4ED"/>
            <w:noWrap/>
            <w:vAlign w:val="center"/>
          </w:tcPr>
          <w:p w14:paraId="3AC6A62E" w14:textId="19428621" w:rsidR="00401D01" w:rsidRDefault="00401D01" w:rsidP="00D03A56">
            <w:pPr>
              <w:spacing w:after="0" w:line="240" w:lineRule="auto"/>
              <w:jc w:val="center"/>
              <w:rPr>
                <w:rFonts w:ascii="Calibri" w:hAnsi="Calibri" w:cs="Calibri"/>
                <w:color w:val="000000"/>
              </w:rPr>
            </w:pPr>
            <w:r>
              <w:rPr>
                <w:rFonts w:ascii="Calibri" w:hAnsi="Calibri" w:cs="Calibri"/>
                <w:color w:val="000000"/>
              </w:rPr>
              <w:t>9</w:t>
            </w:r>
            <w:r w:rsidR="008E44F3">
              <w:rPr>
                <w:rFonts w:ascii="Calibri" w:hAnsi="Calibri" w:cs="Calibri"/>
                <w:color w:val="000000"/>
              </w:rPr>
              <w:t>,</w:t>
            </w:r>
            <w:r>
              <w:rPr>
                <w:rFonts w:ascii="Calibri" w:hAnsi="Calibri" w:cs="Calibri"/>
                <w:color w:val="000000"/>
              </w:rPr>
              <w:t>959</w:t>
            </w:r>
          </w:p>
        </w:tc>
        <w:tc>
          <w:tcPr>
            <w:tcW w:w="1288" w:type="dxa"/>
            <w:shd w:val="clear" w:color="000000" w:fill="DBE4ED"/>
            <w:noWrap/>
            <w:vAlign w:val="center"/>
          </w:tcPr>
          <w:p w14:paraId="71E2170A" w14:textId="43BEC7C1" w:rsidR="00401D01" w:rsidRDefault="00401D01" w:rsidP="00D03A56">
            <w:pPr>
              <w:spacing w:after="0" w:line="240" w:lineRule="auto"/>
              <w:jc w:val="center"/>
              <w:rPr>
                <w:rFonts w:ascii="Calibri" w:hAnsi="Calibri" w:cs="Calibri"/>
                <w:color w:val="000000"/>
              </w:rPr>
            </w:pPr>
            <w:r>
              <w:rPr>
                <w:rFonts w:ascii="Calibri" w:hAnsi="Calibri" w:cs="Calibri"/>
                <w:color w:val="000000"/>
              </w:rPr>
              <w:t>4</w:t>
            </w:r>
            <w:r w:rsidR="008E44F3">
              <w:rPr>
                <w:rFonts w:ascii="Calibri" w:hAnsi="Calibri" w:cs="Calibri"/>
                <w:color w:val="000000"/>
              </w:rPr>
              <w:t>,</w:t>
            </w:r>
            <w:r>
              <w:rPr>
                <w:rFonts w:ascii="Calibri" w:hAnsi="Calibri" w:cs="Calibri"/>
                <w:color w:val="000000"/>
              </w:rPr>
              <w:t>521</w:t>
            </w:r>
          </w:p>
        </w:tc>
        <w:tc>
          <w:tcPr>
            <w:tcW w:w="1592" w:type="dxa"/>
            <w:shd w:val="clear" w:color="000000" w:fill="DBE4ED"/>
            <w:noWrap/>
            <w:vAlign w:val="center"/>
          </w:tcPr>
          <w:p w14:paraId="099ABCCB" w14:textId="3C53415E" w:rsidR="00401D01" w:rsidRDefault="00401D01" w:rsidP="00D03A56">
            <w:pPr>
              <w:spacing w:after="0" w:line="240" w:lineRule="auto"/>
              <w:jc w:val="center"/>
              <w:rPr>
                <w:rFonts w:ascii="Calibri" w:hAnsi="Calibri" w:cs="Calibri"/>
                <w:color w:val="000000"/>
              </w:rPr>
            </w:pPr>
            <w:r>
              <w:rPr>
                <w:rFonts w:ascii="Calibri" w:hAnsi="Calibri" w:cs="Calibri"/>
                <w:color w:val="000000"/>
              </w:rPr>
              <w:t>21</w:t>
            </w:r>
            <w:r w:rsidR="008E44F3">
              <w:rPr>
                <w:rFonts w:ascii="Calibri" w:hAnsi="Calibri" w:cs="Calibri"/>
                <w:color w:val="000000"/>
              </w:rPr>
              <w:t>,</w:t>
            </w:r>
            <w:r>
              <w:rPr>
                <w:rFonts w:ascii="Calibri" w:hAnsi="Calibri" w:cs="Calibri"/>
                <w:color w:val="000000"/>
              </w:rPr>
              <w:t>926</w:t>
            </w:r>
          </w:p>
        </w:tc>
      </w:tr>
      <w:tr w:rsidR="00401D01" w:rsidRPr="00E05207" w14:paraId="04141D50" w14:textId="77777777" w:rsidTr="00D03A56">
        <w:trPr>
          <w:trHeight w:val="288"/>
        </w:trPr>
        <w:tc>
          <w:tcPr>
            <w:tcW w:w="3240" w:type="dxa"/>
            <w:shd w:val="clear" w:color="000000" w:fill="DBE4ED"/>
            <w:noWrap/>
            <w:vAlign w:val="bottom"/>
          </w:tcPr>
          <w:p w14:paraId="6B5E3E7B" w14:textId="77777777" w:rsidR="00401D01" w:rsidRPr="00E05207" w:rsidRDefault="00401D01" w:rsidP="00D03A56">
            <w:pPr>
              <w:spacing w:after="0" w:line="240" w:lineRule="auto"/>
              <w:rPr>
                <w:rFonts w:asciiTheme="minorBidi" w:eastAsia="Times New Roman" w:hAnsiTheme="minorBidi" w:cstheme="minorBidi"/>
                <w:color w:val="000000"/>
                <w:sz w:val="20"/>
                <w:szCs w:val="20"/>
                <w:lang w:eastAsia="en-US"/>
              </w:rPr>
            </w:pPr>
            <w:r w:rsidRPr="00E05207">
              <w:rPr>
                <w:rFonts w:asciiTheme="minorBidi" w:hAnsiTheme="minorBidi" w:cstheme="minorBidi"/>
                <w:color w:val="000000"/>
                <w:sz w:val="20"/>
                <w:szCs w:val="20"/>
              </w:rPr>
              <w:t>Chronic Obstructive Pulmonary Disease</w:t>
            </w:r>
          </w:p>
        </w:tc>
        <w:tc>
          <w:tcPr>
            <w:tcW w:w="1530" w:type="dxa"/>
            <w:shd w:val="clear" w:color="000000" w:fill="DBE4ED"/>
            <w:noWrap/>
            <w:vAlign w:val="center"/>
          </w:tcPr>
          <w:p w14:paraId="198FE441" w14:textId="77777777" w:rsidR="00401D01" w:rsidRDefault="00401D01" w:rsidP="00D03A56">
            <w:pPr>
              <w:spacing w:after="0" w:line="240" w:lineRule="auto"/>
              <w:jc w:val="center"/>
              <w:rPr>
                <w:rFonts w:ascii="Calibri" w:hAnsi="Calibri" w:cs="Calibri"/>
                <w:color w:val="000000"/>
              </w:rPr>
            </w:pPr>
            <w:r>
              <w:rPr>
                <w:rFonts w:ascii="Calibri" w:hAnsi="Calibri" w:cs="Calibri"/>
                <w:color w:val="000000"/>
              </w:rPr>
              <w:t>13</w:t>
            </w:r>
          </w:p>
        </w:tc>
        <w:tc>
          <w:tcPr>
            <w:tcW w:w="1710" w:type="dxa"/>
            <w:shd w:val="clear" w:color="000000" w:fill="DBE4ED"/>
            <w:noWrap/>
            <w:vAlign w:val="center"/>
          </w:tcPr>
          <w:p w14:paraId="403456EC" w14:textId="3595CD37" w:rsidR="00401D01" w:rsidRDefault="00401D01" w:rsidP="00D03A56">
            <w:pPr>
              <w:spacing w:after="0" w:line="240" w:lineRule="auto"/>
              <w:jc w:val="center"/>
              <w:rPr>
                <w:rFonts w:ascii="Calibri" w:hAnsi="Calibri" w:cs="Calibri"/>
                <w:color w:val="000000"/>
              </w:rPr>
            </w:pPr>
            <w:r>
              <w:rPr>
                <w:rFonts w:ascii="Calibri" w:hAnsi="Calibri" w:cs="Calibri"/>
                <w:color w:val="000000"/>
              </w:rPr>
              <w:t>17</w:t>
            </w:r>
            <w:r w:rsidR="008E44F3">
              <w:rPr>
                <w:rFonts w:ascii="Calibri" w:hAnsi="Calibri" w:cs="Calibri"/>
                <w:color w:val="000000"/>
              </w:rPr>
              <w:t>,</w:t>
            </w:r>
            <w:r>
              <w:rPr>
                <w:rFonts w:ascii="Calibri" w:hAnsi="Calibri" w:cs="Calibri"/>
                <w:color w:val="000000"/>
              </w:rPr>
              <w:t>661</w:t>
            </w:r>
          </w:p>
        </w:tc>
        <w:tc>
          <w:tcPr>
            <w:tcW w:w="1288" w:type="dxa"/>
            <w:shd w:val="clear" w:color="000000" w:fill="DBE4ED"/>
            <w:noWrap/>
            <w:vAlign w:val="center"/>
          </w:tcPr>
          <w:p w14:paraId="32F77640" w14:textId="2C6760DC" w:rsidR="00401D01" w:rsidRDefault="00401D01" w:rsidP="00D03A56">
            <w:pPr>
              <w:spacing w:after="0" w:line="240" w:lineRule="auto"/>
              <w:jc w:val="center"/>
              <w:rPr>
                <w:rFonts w:ascii="Calibri" w:hAnsi="Calibri" w:cs="Calibri"/>
                <w:color w:val="000000"/>
              </w:rPr>
            </w:pPr>
            <w:r>
              <w:rPr>
                <w:rFonts w:ascii="Calibri" w:hAnsi="Calibri" w:cs="Calibri"/>
                <w:color w:val="000000"/>
              </w:rPr>
              <w:t>3</w:t>
            </w:r>
            <w:r w:rsidR="008E44F3">
              <w:rPr>
                <w:rFonts w:ascii="Calibri" w:hAnsi="Calibri" w:cs="Calibri"/>
                <w:color w:val="000000"/>
              </w:rPr>
              <w:t>,</w:t>
            </w:r>
            <w:r>
              <w:rPr>
                <w:rFonts w:ascii="Calibri" w:hAnsi="Calibri" w:cs="Calibri"/>
                <w:color w:val="000000"/>
              </w:rPr>
              <w:t>495</w:t>
            </w:r>
          </w:p>
        </w:tc>
        <w:tc>
          <w:tcPr>
            <w:tcW w:w="1592" w:type="dxa"/>
            <w:shd w:val="clear" w:color="000000" w:fill="DBE4ED"/>
            <w:noWrap/>
            <w:vAlign w:val="center"/>
          </w:tcPr>
          <w:p w14:paraId="5A8038E9" w14:textId="2B0ACEFB" w:rsidR="00401D01" w:rsidRDefault="00401D01" w:rsidP="00D03A56">
            <w:pPr>
              <w:spacing w:after="0" w:line="240" w:lineRule="auto"/>
              <w:jc w:val="center"/>
              <w:rPr>
                <w:rFonts w:ascii="Calibri" w:hAnsi="Calibri" w:cs="Calibri"/>
                <w:color w:val="000000"/>
              </w:rPr>
            </w:pPr>
            <w:r>
              <w:rPr>
                <w:rFonts w:ascii="Calibri" w:hAnsi="Calibri" w:cs="Calibri"/>
                <w:color w:val="000000"/>
              </w:rPr>
              <w:t>40</w:t>
            </w:r>
            <w:r w:rsidR="008E44F3">
              <w:rPr>
                <w:rFonts w:ascii="Calibri" w:hAnsi="Calibri" w:cs="Calibri"/>
                <w:color w:val="000000"/>
              </w:rPr>
              <w:t>,</w:t>
            </w:r>
            <w:r>
              <w:rPr>
                <w:rFonts w:ascii="Calibri" w:hAnsi="Calibri" w:cs="Calibri"/>
                <w:color w:val="000000"/>
              </w:rPr>
              <w:t>000</w:t>
            </w:r>
          </w:p>
        </w:tc>
      </w:tr>
      <w:tr w:rsidR="00401D01" w:rsidRPr="00E05207" w14:paraId="4F3ED20E" w14:textId="77777777" w:rsidTr="00D03A56">
        <w:trPr>
          <w:trHeight w:val="288"/>
        </w:trPr>
        <w:tc>
          <w:tcPr>
            <w:tcW w:w="3240" w:type="dxa"/>
            <w:shd w:val="clear" w:color="000000" w:fill="DBE4ED"/>
            <w:noWrap/>
            <w:vAlign w:val="bottom"/>
          </w:tcPr>
          <w:p w14:paraId="12B5314D" w14:textId="77777777" w:rsidR="00401D01" w:rsidRPr="00E05207" w:rsidRDefault="00401D01" w:rsidP="00D03A56">
            <w:pPr>
              <w:spacing w:after="0" w:line="240" w:lineRule="auto"/>
              <w:rPr>
                <w:rFonts w:asciiTheme="minorBidi" w:eastAsia="Times New Roman" w:hAnsiTheme="minorBidi" w:cstheme="minorBidi"/>
                <w:color w:val="000000"/>
                <w:sz w:val="20"/>
                <w:szCs w:val="20"/>
                <w:lang w:eastAsia="en-US"/>
              </w:rPr>
            </w:pPr>
            <w:r w:rsidRPr="00E05207">
              <w:rPr>
                <w:rFonts w:asciiTheme="minorBidi" w:hAnsiTheme="minorBidi" w:cstheme="minorBidi"/>
                <w:color w:val="000000"/>
                <w:sz w:val="20"/>
                <w:szCs w:val="20"/>
              </w:rPr>
              <w:t>Upper respiratory infection, acute</w:t>
            </w:r>
          </w:p>
        </w:tc>
        <w:tc>
          <w:tcPr>
            <w:tcW w:w="1530" w:type="dxa"/>
            <w:shd w:val="clear" w:color="000000" w:fill="DBE4ED"/>
            <w:noWrap/>
            <w:vAlign w:val="center"/>
          </w:tcPr>
          <w:p w14:paraId="4C310308" w14:textId="77777777" w:rsidR="00401D01" w:rsidRDefault="00401D01" w:rsidP="00D03A56">
            <w:pPr>
              <w:spacing w:after="0" w:line="240" w:lineRule="auto"/>
              <w:jc w:val="center"/>
              <w:rPr>
                <w:rFonts w:ascii="Calibri" w:hAnsi="Calibri" w:cs="Calibri"/>
                <w:color w:val="000000"/>
              </w:rPr>
            </w:pPr>
            <w:r>
              <w:rPr>
                <w:rFonts w:ascii="Calibri" w:hAnsi="Calibri" w:cs="Calibri"/>
                <w:color w:val="000000"/>
              </w:rPr>
              <w:t>12</w:t>
            </w:r>
          </w:p>
        </w:tc>
        <w:tc>
          <w:tcPr>
            <w:tcW w:w="1710" w:type="dxa"/>
            <w:shd w:val="clear" w:color="000000" w:fill="DBE4ED"/>
            <w:noWrap/>
            <w:vAlign w:val="center"/>
          </w:tcPr>
          <w:p w14:paraId="0F4E1C41" w14:textId="422B34FD" w:rsidR="00401D01" w:rsidRDefault="00401D01" w:rsidP="00D03A56">
            <w:pPr>
              <w:spacing w:after="0" w:line="240" w:lineRule="auto"/>
              <w:jc w:val="center"/>
              <w:rPr>
                <w:rFonts w:ascii="Calibri" w:hAnsi="Calibri" w:cs="Calibri"/>
                <w:color w:val="000000"/>
              </w:rPr>
            </w:pPr>
            <w:r>
              <w:rPr>
                <w:rFonts w:ascii="Calibri" w:hAnsi="Calibri" w:cs="Calibri"/>
                <w:color w:val="000000"/>
              </w:rPr>
              <w:t>8</w:t>
            </w:r>
            <w:r w:rsidR="008E44F3">
              <w:rPr>
                <w:rFonts w:ascii="Calibri" w:hAnsi="Calibri" w:cs="Calibri"/>
                <w:color w:val="000000"/>
              </w:rPr>
              <w:t>,</w:t>
            </w:r>
            <w:r>
              <w:rPr>
                <w:rFonts w:ascii="Calibri" w:hAnsi="Calibri" w:cs="Calibri"/>
                <w:color w:val="000000"/>
              </w:rPr>
              <w:t>306</w:t>
            </w:r>
          </w:p>
        </w:tc>
        <w:tc>
          <w:tcPr>
            <w:tcW w:w="1288" w:type="dxa"/>
            <w:shd w:val="clear" w:color="000000" w:fill="DBE4ED"/>
            <w:noWrap/>
            <w:vAlign w:val="center"/>
          </w:tcPr>
          <w:p w14:paraId="429EB4FE" w14:textId="77777777" w:rsidR="00401D01" w:rsidRDefault="00401D01" w:rsidP="00D03A56">
            <w:pPr>
              <w:spacing w:after="0" w:line="240" w:lineRule="auto"/>
              <w:jc w:val="center"/>
              <w:rPr>
                <w:rFonts w:ascii="Calibri" w:hAnsi="Calibri" w:cs="Calibri"/>
                <w:color w:val="000000"/>
              </w:rPr>
            </w:pPr>
            <w:r>
              <w:rPr>
                <w:rFonts w:ascii="Calibri" w:hAnsi="Calibri" w:cs="Calibri"/>
                <w:color w:val="000000"/>
              </w:rPr>
              <w:t>994</w:t>
            </w:r>
          </w:p>
        </w:tc>
        <w:tc>
          <w:tcPr>
            <w:tcW w:w="1592" w:type="dxa"/>
            <w:shd w:val="clear" w:color="000000" w:fill="DBE4ED"/>
            <w:noWrap/>
            <w:vAlign w:val="center"/>
          </w:tcPr>
          <w:p w14:paraId="5D9243C5" w14:textId="1C2A7B92" w:rsidR="00401D01" w:rsidRDefault="00401D01" w:rsidP="00D03A56">
            <w:pPr>
              <w:spacing w:after="0" w:line="240" w:lineRule="auto"/>
              <w:jc w:val="center"/>
              <w:rPr>
                <w:rFonts w:ascii="Calibri" w:hAnsi="Calibri" w:cs="Calibri"/>
                <w:color w:val="000000"/>
              </w:rPr>
            </w:pPr>
            <w:r>
              <w:rPr>
                <w:rFonts w:ascii="Calibri" w:hAnsi="Calibri" w:cs="Calibri"/>
                <w:color w:val="000000"/>
              </w:rPr>
              <w:t>22</w:t>
            </w:r>
            <w:r w:rsidR="008E44F3">
              <w:rPr>
                <w:rFonts w:ascii="Calibri" w:hAnsi="Calibri" w:cs="Calibri"/>
                <w:color w:val="000000"/>
              </w:rPr>
              <w:t>,</w:t>
            </w:r>
            <w:r>
              <w:rPr>
                <w:rFonts w:ascii="Calibri" w:hAnsi="Calibri" w:cs="Calibri"/>
                <w:color w:val="000000"/>
              </w:rPr>
              <w:t>698</w:t>
            </w:r>
          </w:p>
        </w:tc>
      </w:tr>
      <w:tr w:rsidR="00401D01" w:rsidRPr="00E05207" w14:paraId="585EBB49" w14:textId="77777777" w:rsidTr="00D03A56">
        <w:trPr>
          <w:trHeight w:val="288"/>
        </w:trPr>
        <w:tc>
          <w:tcPr>
            <w:tcW w:w="3240" w:type="dxa"/>
            <w:shd w:val="clear" w:color="000000" w:fill="DBE4ED"/>
            <w:noWrap/>
            <w:vAlign w:val="bottom"/>
          </w:tcPr>
          <w:p w14:paraId="380D35BC" w14:textId="77777777" w:rsidR="00401D01" w:rsidRPr="00E05207" w:rsidRDefault="00401D01" w:rsidP="00D03A56">
            <w:pPr>
              <w:spacing w:after="0" w:line="240" w:lineRule="auto"/>
              <w:rPr>
                <w:rFonts w:asciiTheme="minorBidi" w:eastAsia="Times New Roman" w:hAnsiTheme="minorBidi" w:cstheme="minorBidi"/>
                <w:color w:val="000000"/>
                <w:sz w:val="20"/>
                <w:szCs w:val="20"/>
                <w:lang w:eastAsia="en-US"/>
              </w:rPr>
            </w:pPr>
            <w:r w:rsidRPr="00E05207">
              <w:rPr>
                <w:rFonts w:asciiTheme="minorBidi" w:hAnsiTheme="minorBidi" w:cstheme="minorBidi"/>
                <w:color w:val="000000"/>
                <w:sz w:val="20"/>
                <w:szCs w:val="20"/>
              </w:rPr>
              <w:t>Asthma</w:t>
            </w:r>
          </w:p>
        </w:tc>
        <w:tc>
          <w:tcPr>
            <w:tcW w:w="1530" w:type="dxa"/>
            <w:shd w:val="clear" w:color="000000" w:fill="DBE4ED"/>
            <w:noWrap/>
            <w:vAlign w:val="center"/>
          </w:tcPr>
          <w:p w14:paraId="6DD32E2F" w14:textId="77777777" w:rsidR="00401D01" w:rsidRDefault="00401D01" w:rsidP="00D03A56">
            <w:pPr>
              <w:spacing w:after="0" w:line="240" w:lineRule="auto"/>
              <w:jc w:val="center"/>
              <w:rPr>
                <w:rFonts w:ascii="Calibri" w:hAnsi="Calibri" w:cs="Calibri"/>
                <w:color w:val="000000"/>
              </w:rPr>
            </w:pPr>
            <w:r>
              <w:rPr>
                <w:rFonts w:ascii="Calibri" w:hAnsi="Calibri" w:cs="Calibri"/>
                <w:color w:val="000000"/>
              </w:rPr>
              <w:t>11</w:t>
            </w:r>
          </w:p>
        </w:tc>
        <w:tc>
          <w:tcPr>
            <w:tcW w:w="1710" w:type="dxa"/>
            <w:shd w:val="clear" w:color="000000" w:fill="DBE4ED"/>
            <w:noWrap/>
            <w:vAlign w:val="center"/>
          </w:tcPr>
          <w:p w14:paraId="599FA673" w14:textId="72FA8FC1" w:rsidR="00401D01" w:rsidRDefault="00401D01" w:rsidP="00D03A56">
            <w:pPr>
              <w:spacing w:after="0" w:line="240" w:lineRule="auto"/>
              <w:jc w:val="center"/>
              <w:rPr>
                <w:rFonts w:ascii="Calibri" w:hAnsi="Calibri" w:cs="Calibri"/>
                <w:color w:val="000000"/>
              </w:rPr>
            </w:pPr>
            <w:r>
              <w:rPr>
                <w:rFonts w:ascii="Calibri" w:hAnsi="Calibri" w:cs="Calibri"/>
                <w:color w:val="000000"/>
              </w:rPr>
              <w:t>11</w:t>
            </w:r>
            <w:r w:rsidR="008E44F3">
              <w:rPr>
                <w:rFonts w:ascii="Calibri" w:hAnsi="Calibri" w:cs="Calibri"/>
                <w:color w:val="000000"/>
              </w:rPr>
              <w:t>,</w:t>
            </w:r>
            <w:r>
              <w:rPr>
                <w:rFonts w:ascii="Calibri" w:hAnsi="Calibri" w:cs="Calibri"/>
                <w:color w:val="000000"/>
              </w:rPr>
              <w:t>277</w:t>
            </w:r>
          </w:p>
        </w:tc>
        <w:tc>
          <w:tcPr>
            <w:tcW w:w="1288" w:type="dxa"/>
            <w:shd w:val="clear" w:color="000000" w:fill="DBE4ED"/>
            <w:noWrap/>
            <w:vAlign w:val="center"/>
          </w:tcPr>
          <w:p w14:paraId="5CC180D6" w14:textId="5F22ED7A" w:rsidR="00401D01" w:rsidRDefault="00401D01" w:rsidP="00D03A56">
            <w:pPr>
              <w:spacing w:after="0" w:line="240" w:lineRule="auto"/>
              <w:jc w:val="center"/>
              <w:rPr>
                <w:rFonts w:ascii="Calibri" w:hAnsi="Calibri" w:cs="Calibri"/>
                <w:color w:val="000000"/>
              </w:rPr>
            </w:pPr>
            <w:r>
              <w:rPr>
                <w:rFonts w:ascii="Calibri" w:hAnsi="Calibri" w:cs="Calibri"/>
                <w:color w:val="000000"/>
              </w:rPr>
              <w:t>4</w:t>
            </w:r>
            <w:r w:rsidR="008E44F3">
              <w:rPr>
                <w:rFonts w:ascii="Calibri" w:hAnsi="Calibri" w:cs="Calibri"/>
                <w:color w:val="000000"/>
              </w:rPr>
              <w:t>,</w:t>
            </w:r>
            <w:r>
              <w:rPr>
                <w:rFonts w:ascii="Calibri" w:hAnsi="Calibri" w:cs="Calibri"/>
                <w:color w:val="000000"/>
              </w:rPr>
              <w:t>834</w:t>
            </w:r>
          </w:p>
        </w:tc>
        <w:tc>
          <w:tcPr>
            <w:tcW w:w="1592" w:type="dxa"/>
            <w:shd w:val="clear" w:color="000000" w:fill="DBE4ED"/>
            <w:noWrap/>
            <w:vAlign w:val="center"/>
          </w:tcPr>
          <w:p w14:paraId="067883A3" w14:textId="1E344CA5" w:rsidR="00401D01" w:rsidRDefault="00401D01" w:rsidP="00D03A56">
            <w:pPr>
              <w:spacing w:after="0" w:line="240" w:lineRule="auto"/>
              <w:jc w:val="center"/>
              <w:rPr>
                <w:rFonts w:ascii="Calibri" w:hAnsi="Calibri" w:cs="Calibri"/>
                <w:color w:val="000000"/>
              </w:rPr>
            </w:pPr>
            <w:r>
              <w:rPr>
                <w:rFonts w:ascii="Calibri" w:hAnsi="Calibri" w:cs="Calibri"/>
                <w:color w:val="000000"/>
              </w:rPr>
              <w:t>21</w:t>
            </w:r>
            <w:r w:rsidR="008E44F3">
              <w:rPr>
                <w:rFonts w:ascii="Calibri" w:hAnsi="Calibri" w:cs="Calibri"/>
                <w:color w:val="000000"/>
              </w:rPr>
              <w:t>,</w:t>
            </w:r>
            <w:r>
              <w:rPr>
                <w:rFonts w:ascii="Calibri" w:hAnsi="Calibri" w:cs="Calibri"/>
                <w:color w:val="000000"/>
              </w:rPr>
              <w:t>016</w:t>
            </w:r>
          </w:p>
        </w:tc>
      </w:tr>
      <w:tr w:rsidR="00401D01" w:rsidRPr="00E05207" w14:paraId="512BCFF2" w14:textId="77777777" w:rsidTr="00D03A56">
        <w:trPr>
          <w:trHeight w:val="288"/>
        </w:trPr>
        <w:tc>
          <w:tcPr>
            <w:tcW w:w="3240" w:type="dxa"/>
            <w:shd w:val="clear" w:color="000000" w:fill="DBE4ED"/>
            <w:noWrap/>
            <w:vAlign w:val="bottom"/>
          </w:tcPr>
          <w:p w14:paraId="4543CCC4" w14:textId="77777777" w:rsidR="00401D01" w:rsidRPr="00E05207" w:rsidRDefault="00401D01" w:rsidP="00D03A56">
            <w:pPr>
              <w:spacing w:after="0" w:line="240" w:lineRule="auto"/>
              <w:rPr>
                <w:rFonts w:asciiTheme="minorBidi" w:eastAsia="Times New Roman" w:hAnsiTheme="minorBidi" w:cstheme="minorBidi"/>
                <w:color w:val="000000"/>
                <w:sz w:val="20"/>
                <w:szCs w:val="20"/>
                <w:lang w:eastAsia="en-US"/>
              </w:rPr>
            </w:pPr>
            <w:r w:rsidRPr="00E05207">
              <w:rPr>
                <w:rFonts w:asciiTheme="minorBidi" w:hAnsiTheme="minorBidi" w:cstheme="minorBidi"/>
                <w:color w:val="000000"/>
                <w:sz w:val="20"/>
                <w:szCs w:val="20"/>
              </w:rPr>
              <w:t>CVA, late effect, unspecific</w:t>
            </w:r>
          </w:p>
        </w:tc>
        <w:tc>
          <w:tcPr>
            <w:tcW w:w="1530" w:type="dxa"/>
            <w:shd w:val="clear" w:color="000000" w:fill="DBE4ED"/>
            <w:noWrap/>
            <w:vAlign w:val="center"/>
          </w:tcPr>
          <w:p w14:paraId="55134E99" w14:textId="77777777" w:rsidR="00401D01" w:rsidRDefault="00401D01" w:rsidP="00D03A56">
            <w:pPr>
              <w:spacing w:after="0" w:line="240" w:lineRule="auto"/>
              <w:jc w:val="center"/>
              <w:rPr>
                <w:rFonts w:ascii="Calibri" w:hAnsi="Calibri" w:cs="Calibri"/>
                <w:color w:val="000000"/>
              </w:rPr>
            </w:pPr>
            <w:r>
              <w:rPr>
                <w:rFonts w:ascii="Calibri" w:hAnsi="Calibri" w:cs="Calibri"/>
                <w:color w:val="000000"/>
              </w:rPr>
              <w:t>8</w:t>
            </w:r>
          </w:p>
        </w:tc>
        <w:tc>
          <w:tcPr>
            <w:tcW w:w="1710" w:type="dxa"/>
            <w:shd w:val="clear" w:color="000000" w:fill="DBE4ED"/>
            <w:noWrap/>
            <w:vAlign w:val="center"/>
          </w:tcPr>
          <w:p w14:paraId="60BB23CA" w14:textId="694423A4" w:rsidR="00401D01" w:rsidRDefault="00401D01" w:rsidP="00D03A56">
            <w:pPr>
              <w:spacing w:after="0" w:line="240" w:lineRule="auto"/>
              <w:jc w:val="center"/>
              <w:rPr>
                <w:rFonts w:ascii="Calibri" w:hAnsi="Calibri" w:cs="Calibri"/>
                <w:color w:val="000000"/>
              </w:rPr>
            </w:pPr>
            <w:r>
              <w:rPr>
                <w:rFonts w:ascii="Calibri" w:hAnsi="Calibri" w:cs="Calibri"/>
                <w:color w:val="000000"/>
              </w:rPr>
              <w:t>21</w:t>
            </w:r>
            <w:r w:rsidR="008E44F3">
              <w:rPr>
                <w:rFonts w:ascii="Calibri" w:hAnsi="Calibri" w:cs="Calibri"/>
                <w:color w:val="000000"/>
              </w:rPr>
              <w:t>,</w:t>
            </w:r>
            <w:r>
              <w:rPr>
                <w:rFonts w:ascii="Calibri" w:hAnsi="Calibri" w:cs="Calibri"/>
                <w:color w:val="000000"/>
              </w:rPr>
              <w:t>541</w:t>
            </w:r>
          </w:p>
        </w:tc>
        <w:tc>
          <w:tcPr>
            <w:tcW w:w="1288" w:type="dxa"/>
            <w:shd w:val="clear" w:color="000000" w:fill="DBE4ED"/>
            <w:noWrap/>
            <w:vAlign w:val="center"/>
          </w:tcPr>
          <w:p w14:paraId="0658DEEB" w14:textId="29549DF0" w:rsidR="00401D01" w:rsidRDefault="00401D01" w:rsidP="00D03A56">
            <w:pPr>
              <w:spacing w:after="0" w:line="240" w:lineRule="auto"/>
              <w:jc w:val="center"/>
              <w:rPr>
                <w:rFonts w:ascii="Calibri" w:hAnsi="Calibri" w:cs="Calibri"/>
                <w:color w:val="000000"/>
              </w:rPr>
            </w:pPr>
            <w:r>
              <w:rPr>
                <w:rFonts w:ascii="Calibri" w:hAnsi="Calibri" w:cs="Calibri"/>
                <w:color w:val="000000"/>
              </w:rPr>
              <w:t>4</w:t>
            </w:r>
            <w:r w:rsidR="008E44F3">
              <w:rPr>
                <w:rFonts w:ascii="Calibri" w:hAnsi="Calibri" w:cs="Calibri"/>
                <w:color w:val="000000"/>
              </w:rPr>
              <w:t>,</w:t>
            </w:r>
            <w:r>
              <w:rPr>
                <w:rFonts w:ascii="Calibri" w:hAnsi="Calibri" w:cs="Calibri"/>
                <w:color w:val="000000"/>
              </w:rPr>
              <w:t>687</w:t>
            </w:r>
          </w:p>
        </w:tc>
        <w:tc>
          <w:tcPr>
            <w:tcW w:w="1592" w:type="dxa"/>
            <w:shd w:val="clear" w:color="000000" w:fill="DBE4ED"/>
            <w:noWrap/>
            <w:vAlign w:val="center"/>
          </w:tcPr>
          <w:p w14:paraId="1A6C8B61" w14:textId="265E07D2" w:rsidR="00401D01" w:rsidRDefault="00401D01" w:rsidP="00D03A56">
            <w:pPr>
              <w:spacing w:after="0" w:line="240" w:lineRule="auto"/>
              <w:jc w:val="center"/>
              <w:rPr>
                <w:rFonts w:ascii="Calibri" w:hAnsi="Calibri" w:cs="Calibri"/>
                <w:color w:val="000000"/>
              </w:rPr>
            </w:pPr>
            <w:r>
              <w:rPr>
                <w:rFonts w:ascii="Calibri" w:hAnsi="Calibri" w:cs="Calibri"/>
                <w:color w:val="000000"/>
              </w:rPr>
              <w:t>40</w:t>
            </w:r>
            <w:r w:rsidR="008E44F3">
              <w:rPr>
                <w:rFonts w:ascii="Calibri" w:hAnsi="Calibri" w:cs="Calibri"/>
                <w:color w:val="000000"/>
              </w:rPr>
              <w:t>,</w:t>
            </w:r>
            <w:r>
              <w:rPr>
                <w:rFonts w:ascii="Calibri" w:hAnsi="Calibri" w:cs="Calibri"/>
                <w:color w:val="000000"/>
              </w:rPr>
              <w:t>000</w:t>
            </w:r>
          </w:p>
        </w:tc>
      </w:tr>
      <w:tr w:rsidR="00401D01" w:rsidRPr="00E05207" w14:paraId="4B92B6D2" w14:textId="77777777" w:rsidTr="00D03A56">
        <w:trPr>
          <w:trHeight w:val="288"/>
        </w:trPr>
        <w:tc>
          <w:tcPr>
            <w:tcW w:w="3240" w:type="dxa"/>
            <w:shd w:val="clear" w:color="000000" w:fill="DBE4ED"/>
            <w:noWrap/>
            <w:vAlign w:val="bottom"/>
          </w:tcPr>
          <w:p w14:paraId="18D54A3D" w14:textId="77777777" w:rsidR="00401D01" w:rsidRPr="00E05207" w:rsidRDefault="00401D01" w:rsidP="00D03A56">
            <w:pPr>
              <w:spacing w:after="0" w:line="240" w:lineRule="auto"/>
              <w:rPr>
                <w:rFonts w:asciiTheme="minorBidi" w:eastAsia="Times New Roman" w:hAnsiTheme="minorBidi" w:cstheme="minorBidi"/>
                <w:b/>
                <w:bCs/>
                <w:color w:val="000000"/>
                <w:sz w:val="20"/>
                <w:szCs w:val="20"/>
                <w:lang w:eastAsia="en-US"/>
              </w:rPr>
            </w:pPr>
            <w:r w:rsidRPr="00E05207">
              <w:rPr>
                <w:rFonts w:asciiTheme="minorBidi" w:hAnsiTheme="minorBidi" w:cstheme="minorBidi"/>
                <w:color w:val="000000"/>
                <w:sz w:val="20"/>
                <w:szCs w:val="20"/>
              </w:rPr>
              <w:t>Gastritis, unspecific. without haemorrhage</w:t>
            </w:r>
          </w:p>
        </w:tc>
        <w:tc>
          <w:tcPr>
            <w:tcW w:w="1530" w:type="dxa"/>
            <w:shd w:val="clear" w:color="000000" w:fill="DBE4ED"/>
            <w:noWrap/>
            <w:vAlign w:val="center"/>
          </w:tcPr>
          <w:p w14:paraId="498DB909" w14:textId="77777777" w:rsidR="00401D01" w:rsidRDefault="00401D01" w:rsidP="00D03A56">
            <w:pPr>
              <w:spacing w:after="0" w:line="240" w:lineRule="auto"/>
              <w:jc w:val="center"/>
              <w:rPr>
                <w:rFonts w:ascii="Calibri" w:hAnsi="Calibri" w:cs="Calibri"/>
                <w:color w:val="000000"/>
              </w:rPr>
            </w:pPr>
            <w:r>
              <w:rPr>
                <w:rFonts w:ascii="Calibri" w:hAnsi="Calibri" w:cs="Calibri"/>
                <w:color w:val="000000"/>
              </w:rPr>
              <w:t>6</w:t>
            </w:r>
          </w:p>
        </w:tc>
        <w:tc>
          <w:tcPr>
            <w:tcW w:w="1710" w:type="dxa"/>
            <w:shd w:val="clear" w:color="000000" w:fill="DBE4ED"/>
            <w:noWrap/>
            <w:vAlign w:val="center"/>
          </w:tcPr>
          <w:p w14:paraId="5D0074EB" w14:textId="21792FB0" w:rsidR="00401D01" w:rsidRDefault="00401D01" w:rsidP="00D03A56">
            <w:pPr>
              <w:spacing w:after="0" w:line="240" w:lineRule="auto"/>
              <w:jc w:val="center"/>
              <w:rPr>
                <w:rFonts w:ascii="Calibri" w:hAnsi="Calibri" w:cs="Calibri"/>
                <w:color w:val="000000"/>
              </w:rPr>
            </w:pPr>
            <w:r>
              <w:rPr>
                <w:rFonts w:ascii="Calibri" w:hAnsi="Calibri" w:cs="Calibri"/>
                <w:color w:val="000000"/>
              </w:rPr>
              <w:t>18</w:t>
            </w:r>
            <w:r w:rsidR="008E44F3">
              <w:rPr>
                <w:rFonts w:ascii="Calibri" w:hAnsi="Calibri" w:cs="Calibri"/>
                <w:color w:val="000000"/>
              </w:rPr>
              <w:t>,</w:t>
            </w:r>
            <w:r>
              <w:rPr>
                <w:rFonts w:ascii="Calibri" w:hAnsi="Calibri" w:cs="Calibri"/>
                <w:color w:val="000000"/>
              </w:rPr>
              <w:t>781</w:t>
            </w:r>
          </w:p>
        </w:tc>
        <w:tc>
          <w:tcPr>
            <w:tcW w:w="1288" w:type="dxa"/>
            <w:shd w:val="clear" w:color="000000" w:fill="DBE4ED"/>
            <w:noWrap/>
            <w:vAlign w:val="center"/>
          </w:tcPr>
          <w:p w14:paraId="759255BA" w14:textId="449A2913" w:rsidR="00401D01" w:rsidRDefault="00401D01" w:rsidP="00D03A56">
            <w:pPr>
              <w:spacing w:after="0" w:line="240" w:lineRule="auto"/>
              <w:jc w:val="center"/>
              <w:rPr>
                <w:rFonts w:ascii="Calibri" w:hAnsi="Calibri" w:cs="Calibri"/>
                <w:color w:val="000000"/>
              </w:rPr>
            </w:pPr>
            <w:r>
              <w:rPr>
                <w:rFonts w:ascii="Calibri" w:hAnsi="Calibri" w:cs="Calibri"/>
                <w:color w:val="000000"/>
              </w:rPr>
              <w:t>5</w:t>
            </w:r>
            <w:r w:rsidR="008E44F3">
              <w:rPr>
                <w:rFonts w:ascii="Calibri" w:hAnsi="Calibri" w:cs="Calibri"/>
                <w:color w:val="000000"/>
              </w:rPr>
              <w:t>,</w:t>
            </w:r>
            <w:r>
              <w:rPr>
                <w:rFonts w:ascii="Calibri" w:hAnsi="Calibri" w:cs="Calibri"/>
                <w:color w:val="000000"/>
              </w:rPr>
              <w:t>629</w:t>
            </w:r>
          </w:p>
        </w:tc>
        <w:tc>
          <w:tcPr>
            <w:tcW w:w="1592" w:type="dxa"/>
            <w:shd w:val="clear" w:color="000000" w:fill="DBE4ED"/>
            <w:noWrap/>
            <w:vAlign w:val="center"/>
          </w:tcPr>
          <w:p w14:paraId="09EFB22A" w14:textId="1B172DC0" w:rsidR="00401D01" w:rsidRDefault="00401D01" w:rsidP="00D03A56">
            <w:pPr>
              <w:spacing w:after="0" w:line="240" w:lineRule="auto"/>
              <w:jc w:val="center"/>
              <w:rPr>
                <w:rFonts w:ascii="Calibri" w:hAnsi="Calibri" w:cs="Calibri"/>
                <w:color w:val="000000"/>
              </w:rPr>
            </w:pPr>
            <w:r>
              <w:rPr>
                <w:rFonts w:ascii="Calibri" w:hAnsi="Calibri" w:cs="Calibri"/>
                <w:color w:val="000000"/>
              </w:rPr>
              <w:t>35</w:t>
            </w:r>
            <w:r w:rsidR="008E44F3">
              <w:rPr>
                <w:rFonts w:ascii="Calibri" w:hAnsi="Calibri" w:cs="Calibri"/>
                <w:color w:val="000000"/>
              </w:rPr>
              <w:t>,</w:t>
            </w:r>
            <w:r>
              <w:rPr>
                <w:rFonts w:ascii="Calibri" w:hAnsi="Calibri" w:cs="Calibri"/>
                <w:color w:val="000000"/>
              </w:rPr>
              <w:t>000</w:t>
            </w:r>
          </w:p>
        </w:tc>
      </w:tr>
      <w:tr w:rsidR="00401D01" w:rsidRPr="00E05207" w14:paraId="13275FA5" w14:textId="77777777" w:rsidTr="00D03A56">
        <w:trPr>
          <w:trHeight w:val="288"/>
        </w:trPr>
        <w:tc>
          <w:tcPr>
            <w:tcW w:w="3240" w:type="dxa"/>
            <w:shd w:val="clear" w:color="000000" w:fill="DBE4ED"/>
            <w:noWrap/>
            <w:vAlign w:val="center"/>
          </w:tcPr>
          <w:p w14:paraId="567C6DA8" w14:textId="77777777" w:rsidR="00401D01" w:rsidRPr="00E05207" w:rsidRDefault="00401D01" w:rsidP="00D03A56">
            <w:pPr>
              <w:spacing w:after="0" w:line="240" w:lineRule="auto"/>
              <w:rPr>
                <w:rFonts w:asciiTheme="minorBidi" w:eastAsia="Times New Roman" w:hAnsiTheme="minorBidi" w:cstheme="minorBidi"/>
                <w:color w:val="000000"/>
                <w:sz w:val="20"/>
                <w:szCs w:val="20"/>
                <w:lang w:eastAsia="en-US"/>
              </w:rPr>
            </w:pPr>
            <w:r w:rsidRPr="00E05207">
              <w:rPr>
                <w:rFonts w:asciiTheme="minorBidi" w:eastAsia="Times New Roman" w:hAnsiTheme="minorBidi" w:cstheme="minorBidi"/>
                <w:color w:val="000000"/>
                <w:sz w:val="20"/>
                <w:szCs w:val="20"/>
                <w:lang w:eastAsia="en-US"/>
              </w:rPr>
              <w:t>All other Diagnoses</w:t>
            </w:r>
          </w:p>
        </w:tc>
        <w:tc>
          <w:tcPr>
            <w:tcW w:w="1530" w:type="dxa"/>
            <w:shd w:val="clear" w:color="000000" w:fill="DBE4ED"/>
            <w:noWrap/>
            <w:vAlign w:val="center"/>
          </w:tcPr>
          <w:p w14:paraId="7E8797ED" w14:textId="77777777" w:rsidR="00401D01" w:rsidRPr="00E05207" w:rsidRDefault="00401D01" w:rsidP="00D03A56">
            <w:pPr>
              <w:spacing w:after="0" w:line="240" w:lineRule="auto"/>
              <w:jc w:val="center"/>
              <w:rPr>
                <w:rFonts w:asciiTheme="minorBidi" w:eastAsia="Times New Roman" w:hAnsiTheme="minorBidi" w:cstheme="minorBidi"/>
                <w:color w:val="000000"/>
                <w:sz w:val="20"/>
                <w:szCs w:val="20"/>
                <w:lang w:eastAsia="en-US"/>
              </w:rPr>
            </w:pPr>
            <w:r>
              <w:rPr>
                <w:rFonts w:asciiTheme="minorBidi" w:hAnsiTheme="minorBidi" w:cstheme="minorBidi"/>
                <w:color w:val="000000"/>
                <w:sz w:val="20"/>
                <w:szCs w:val="20"/>
              </w:rPr>
              <w:t>80</w:t>
            </w:r>
          </w:p>
        </w:tc>
        <w:tc>
          <w:tcPr>
            <w:tcW w:w="1710" w:type="dxa"/>
            <w:shd w:val="clear" w:color="000000" w:fill="DBE4ED"/>
            <w:noWrap/>
            <w:vAlign w:val="center"/>
          </w:tcPr>
          <w:p w14:paraId="32DC4D65" w14:textId="07981A68" w:rsidR="00401D01" w:rsidRDefault="00401D01" w:rsidP="00D03A56">
            <w:pPr>
              <w:spacing w:after="0" w:line="240" w:lineRule="auto"/>
              <w:jc w:val="center"/>
              <w:rPr>
                <w:rFonts w:ascii="Calibri" w:hAnsi="Calibri" w:cs="Calibri"/>
                <w:color w:val="000000"/>
                <w:lang w:val="en-US" w:eastAsia="en-US"/>
              </w:rPr>
            </w:pPr>
            <w:r>
              <w:rPr>
                <w:rFonts w:ascii="Calibri" w:hAnsi="Calibri" w:cs="Calibri"/>
                <w:color w:val="000000"/>
              </w:rPr>
              <w:t>16</w:t>
            </w:r>
            <w:r w:rsidR="008E44F3">
              <w:rPr>
                <w:rFonts w:ascii="Calibri" w:hAnsi="Calibri" w:cs="Calibri"/>
                <w:color w:val="000000"/>
              </w:rPr>
              <w:t>,</w:t>
            </w:r>
            <w:r>
              <w:rPr>
                <w:rFonts w:ascii="Calibri" w:hAnsi="Calibri" w:cs="Calibri"/>
                <w:color w:val="000000"/>
              </w:rPr>
              <w:t>051</w:t>
            </w:r>
          </w:p>
        </w:tc>
        <w:tc>
          <w:tcPr>
            <w:tcW w:w="1288" w:type="dxa"/>
            <w:shd w:val="clear" w:color="000000" w:fill="DBE4ED"/>
            <w:noWrap/>
            <w:vAlign w:val="center"/>
          </w:tcPr>
          <w:p w14:paraId="4891DD8E" w14:textId="77777777" w:rsidR="00401D01" w:rsidRDefault="00401D01" w:rsidP="00D03A56">
            <w:pPr>
              <w:spacing w:after="0" w:line="240" w:lineRule="auto"/>
              <w:jc w:val="center"/>
              <w:rPr>
                <w:rFonts w:ascii="Calibri" w:hAnsi="Calibri" w:cs="Calibri"/>
                <w:color w:val="000000"/>
              </w:rPr>
            </w:pPr>
            <w:r>
              <w:rPr>
                <w:rFonts w:ascii="Calibri" w:hAnsi="Calibri" w:cs="Calibri"/>
                <w:color w:val="000000"/>
              </w:rPr>
              <w:t>994</w:t>
            </w:r>
          </w:p>
        </w:tc>
        <w:tc>
          <w:tcPr>
            <w:tcW w:w="1592" w:type="dxa"/>
            <w:shd w:val="clear" w:color="000000" w:fill="DBE4ED"/>
            <w:noWrap/>
            <w:vAlign w:val="center"/>
          </w:tcPr>
          <w:p w14:paraId="1EED5D77" w14:textId="75FDF6B9" w:rsidR="00401D01" w:rsidRDefault="00401D01" w:rsidP="00D03A56">
            <w:pPr>
              <w:spacing w:after="0" w:line="240" w:lineRule="auto"/>
              <w:jc w:val="center"/>
              <w:rPr>
                <w:rFonts w:ascii="Calibri" w:hAnsi="Calibri" w:cs="Calibri"/>
                <w:color w:val="000000"/>
              </w:rPr>
            </w:pPr>
            <w:r>
              <w:rPr>
                <w:rFonts w:ascii="Calibri" w:hAnsi="Calibri" w:cs="Calibri"/>
                <w:color w:val="000000"/>
              </w:rPr>
              <w:t>40</w:t>
            </w:r>
            <w:r w:rsidR="008E44F3">
              <w:rPr>
                <w:rFonts w:ascii="Calibri" w:hAnsi="Calibri" w:cs="Calibri"/>
                <w:color w:val="000000"/>
              </w:rPr>
              <w:t>,</w:t>
            </w:r>
            <w:r>
              <w:rPr>
                <w:rFonts w:ascii="Calibri" w:hAnsi="Calibri" w:cs="Calibri"/>
                <w:color w:val="000000"/>
              </w:rPr>
              <w:t>000</w:t>
            </w:r>
          </w:p>
        </w:tc>
      </w:tr>
      <w:tr w:rsidR="00401D01" w:rsidRPr="00E05207" w14:paraId="1929AFA7" w14:textId="77777777" w:rsidTr="00D03A56">
        <w:trPr>
          <w:trHeight w:val="288"/>
        </w:trPr>
        <w:tc>
          <w:tcPr>
            <w:tcW w:w="3240" w:type="dxa"/>
            <w:shd w:val="clear" w:color="000000" w:fill="DBE4ED"/>
            <w:noWrap/>
            <w:vAlign w:val="center"/>
          </w:tcPr>
          <w:p w14:paraId="688D065E" w14:textId="77777777" w:rsidR="00401D01" w:rsidRPr="00E05207" w:rsidRDefault="00401D01" w:rsidP="00D03A56">
            <w:pPr>
              <w:spacing w:after="0" w:line="240" w:lineRule="auto"/>
              <w:rPr>
                <w:rFonts w:asciiTheme="minorBidi" w:eastAsia="Times New Roman" w:hAnsiTheme="minorBidi" w:cstheme="minorBidi"/>
                <w:b/>
                <w:bCs/>
                <w:color w:val="000000"/>
                <w:sz w:val="20"/>
                <w:szCs w:val="20"/>
                <w:lang w:eastAsia="en-US"/>
              </w:rPr>
            </w:pPr>
            <w:r>
              <w:rPr>
                <w:rFonts w:asciiTheme="minorBidi" w:eastAsia="Times New Roman" w:hAnsiTheme="minorBidi" w:cstheme="minorBidi"/>
                <w:b/>
                <w:bCs/>
                <w:color w:val="000000"/>
                <w:sz w:val="20"/>
                <w:szCs w:val="20"/>
                <w:lang w:eastAsia="en-US"/>
              </w:rPr>
              <w:t>Over all</w:t>
            </w:r>
          </w:p>
        </w:tc>
        <w:tc>
          <w:tcPr>
            <w:tcW w:w="1530" w:type="dxa"/>
            <w:shd w:val="clear" w:color="000000" w:fill="DBE4ED"/>
            <w:noWrap/>
            <w:vAlign w:val="bottom"/>
          </w:tcPr>
          <w:p w14:paraId="053A44A8" w14:textId="77777777" w:rsidR="00401D01" w:rsidRPr="00E05207" w:rsidRDefault="00401D01" w:rsidP="00D03A56">
            <w:pPr>
              <w:spacing w:after="0" w:line="240" w:lineRule="auto"/>
              <w:jc w:val="center"/>
              <w:rPr>
                <w:rFonts w:asciiTheme="minorBidi" w:hAnsiTheme="minorBidi" w:cstheme="minorBidi"/>
                <w:b/>
                <w:bCs/>
                <w:color w:val="000000"/>
                <w:sz w:val="20"/>
                <w:szCs w:val="20"/>
              </w:rPr>
            </w:pPr>
            <w:r>
              <w:rPr>
                <w:rFonts w:asciiTheme="minorBidi" w:hAnsiTheme="minorBidi" w:cstheme="minorBidi"/>
                <w:b/>
                <w:bCs/>
                <w:color w:val="000000"/>
                <w:sz w:val="20"/>
                <w:szCs w:val="20"/>
              </w:rPr>
              <w:t>269</w:t>
            </w:r>
          </w:p>
        </w:tc>
        <w:tc>
          <w:tcPr>
            <w:tcW w:w="1710" w:type="dxa"/>
            <w:shd w:val="clear" w:color="000000" w:fill="DBE4ED"/>
            <w:noWrap/>
            <w:vAlign w:val="bottom"/>
          </w:tcPr>
          <w:p w14:paraId="276881DA" w14:textId="3F688A50" w:rsidR="00401D01" w:rsidRPr="00E05207" w:rsidRDefault="00401D01" w:rsidP="00D03A56">
            <w:pPr>
              <w:spacing w:after="0" w:line="240" w:lineRule="auto"/>
              <w:jc w:val="center"/>
              <w:rPr>
                <w:rFonts w:asciiTheme="minorBidi" w:hAnsiTheme="minorBidi" w:cstheme="minorBidi"/>
                <w:b/>
                <w:bCs/>
                <w:color w:val="000000"/>
                <w:sz w:val="20"/>
                <w:szCs w:val="20"/>
              </w:rPr>
            </w:pPr>
            <w:r>
              <w:rPr>
                <w:rFonts w:asciiTheme="minorBidi" w:hAnsiTheme="minorBidi" w:cstheme="minorBidi"/>
                <w:b/>
                <w:bCs/>
                <w:color w:val="000000"/>
                <w:sz w:val="20"/>
                <w:szCs w:val="20"/>
              </w:rPr>
              <w:t>14</w:t>
            </w:r>
            <w:r w:rsidR="008E44F3">
              <w:rPr>
                <w:rFonts w:asciiTheme="minorBidi" w:hAnsiTheme="minorBidi" w:cstheme="minorBidi"/>
                <w:b/>
                <w:bCs/>
                <w:color w:val="000000"/>
                <w:sz w:val="20"/>
                <w:szCs w:val="20"/>
              </w:rPr>
              <w:t>,</w:t>
            </w:r>
            <w:r>
              <w:rPr>
                <w:rFonts w:asciiTheme="minorBidi" w:hAnsiTheme="minorBidi" w:cstheme="minorBidi"/>
                <w:b/>
                <w:bCs/>
                <w:color w:val="000000"/>
                <w:sz w:val="20"/>
                <w:szCs w:val="20"/>
              </w:rPr>
              <w:t>069</w:t>
            </w:r>
          </w:p>
        </w:tc>
        <w:tc>
          <w:tcPr>
            <w:tcW w:w="1288" w:type="dxa"/>
            <w:shd w:val="clear" w:color="000000" w:fill="DBE4ED"/>
            <w:noWrap/>
            <w:vAlign w:val="bottom"/>
          </w:tcPr>
          <w:p w14:paraId="6F4A5119" w14:textId="77777777" w:rsidR="00401D01" w:rsidRPr="00E05207" w:rsidRDefault="00401D01" w:rsidP="00D03A56">
            <w:pPr>
              <w:spacing w:after="0" w:line="240" w:lineRule="auto"/>
              <w:jc w:val="center"/>
              <w:rPr>
                <w:rFonts w:asciiTheme="minorBidi" w:hAnsiTheme="minorBidi" w:cstheme="minorBidi"/>
                <w:b/>
                <w:bCs/>
                <w:color w:val="000000"/>
                <w:sz w:val="20"/>
                <w:szCs w:val="20"/>
              </w:rPr>
            </w:pPr>
            <w:r>
              <w:rPr>
                <w:rFonts w:asciiTheme="minorBidi" w:hAnsiTheme="minorBidi" w:cstheme="minorBidi"/>
                <w:b/>
                <w:bCs/>
                <w:color w:val="000000"/>
                <w:sz w:val="20"/>
                <w:szCs w:val="20"/>
              </w:rPr>
              <w:t>994</w:t>
            </w:r>
          </w:p>
        </w:tc>
        <w:tc>
          <w:tcPr>
            <w:tcW w:w="1592" w:type="dxa"/>
            <w:shd w:val="clear" w:color="000000" w:fill="DBE4ED"/>
            <w:noWrap/>
            <w:vAlign w:val="bottom"/>
          </w:tcPr>
          <w:p w14:paraId="1116222C" w14:textId="77777777" w:rsidR="00401D01" w:rsidRPr="00E05207" w:rsidRDefault="00401D01" w:rsidP="00D03A56">
            <w:pPr>
              <w:spacing w:after="0" w:line="240" w:lineRule="auto"/>
              <w:jc w:val="center"/>
              <w:rPr>
                <w:rFonts w:asciiTheme="minorBidi" w:hAnsiTheme="minorBidi" w:cstheme="minorBidi"/>
                <w:b/>
                <w:bCs/>
                <w:color w:val="000000"/>
                <w:sz w:val="20"/>
                <w:szCs w:val="20"/>
              </w:rPr>
            </w:pPr>
            <w:r>
              <w:rPr>
                <w:rFonts w:asciiTheme="minorBidi" w:hAnsiTheme="minorBidi" w:cstheme="minorBidi"/>
                <w:b/>
                <w:bCs/>
                <w:color w:val="000000"/>
                <w:sz w:val="20"/>
                <w:szCs w:val="20"/>
              </w:rPr>
              <w:t>40,000</w:t>
            </w:r>
          </w:p>
        </w:tc>
      </w:tr>
    </w:tbl>
    <w:p w14:paraId="7549A29C" w14:textId="77777777" w:rsidR="00401D01" w:rsidRPr="003506E5" w:rsidRDefault="00401D01" w:rsidP="00846A29">
      <w:pPr>
        <w:pStyle w:val="BodyText"/>
      </w:pPr>
    </w:p>
    <w:p w14:paraId="31203B23" w14:textId="10F721D7" w:rsidR="005F5304" w:rsidRPr="003506E5" w:rsidRDefault="005F5304" w:rsidP="00CB5120">
      <w:pPr>
        <w:pStyle w:val="Caption"/>
      </w:pPr>
      <w:bookmarkStart w:id="58" w:name="_Toc57215241"/>
      <w:r w:rsidRPr="003506E5">
        <w:t xml:space="preserve">Table </w:t>
      </w:r>
      <w:r w:rsidR="00B76041" w:rsidRPr="003506E5">
        <w:fldChar w:fldCharType="begin"/>
      </w:r>
      <w:r w:rsidRPr="003506E5">
        <w:instrText xml:space="preserve"> SEQ Table \* ARABIC </w:instrText>
      </w:r>
      <w:r w:rsidR="00B76041" w:rsidRPr="003506E5">
        <w:fldChar w:fldCharType="separate"/>
      </w:r>
      <w:r w:rsidR="00AE4FA0">
        <w:rPr>
          <w:noProof/>
        </w:rPr>
        <w:t>21</w:t>
      </w:r>
      <w:r w:rsidR="00B76041" w:rsidRPr="003506E5">
        <w:fldChar w:fldCharType="end"/>
      </w:r>
      <w:r w:rsidRPr="003506E5">
        <w:t>: Claimed Amount against Surgical Admissions</w:t>
      </w:r>
      <w:r w:rsidR="00CB5120">
        <w:t xml:space="preserve">, </w:t>
      </w:r>
      <w:r w:rsidRPr="003506E5">
        <w:t>J</w:t>
      </w:r>
      <w:r w:rsidR="005522DF" w:rsidRPr="003506E5">
        <w:t>ul</w:t>
      </w:r>
      <w:r w:rsidRPr="003506E5">
        <w:t>-</w:t>
      </w:r>
      <w:r w:rsidR="005522DF" w:rsidRPr="003506E5">
        <w:t>Dec</w:t>
      </w:r>
      <w:r w:rsidRPr="003506E5">
        <w:t xml:space="preserve"> 2020</w:t>
      </w:r>
      <w:bookmarkEnd w:id="58"/>
      <w:r w:rsidR="00CB5120">
        <w:t xml:space="preserve"> </w:t>
      </w:r>
      <w:r w:rsidR="00CB5120" w:rsidRPr="00CB5120">
        <w:rPr>
          <w:sz w:val="18"/>
          <w:szCs w:val="18"/>
        </w:rPr>
        <w:t>(</w:t>
      </w:r>
      <w:r w:rsidR="00CB5120">
        <w:rPr>
          <w:sz w:val="18"/>
          <w:szCs w:val="18"/>
        </w:rPr>
        <w:t xml:space="preserve">in </w:t>
      </w:r>
      <w:r w:rsidR="00CB5120" w:rsidRPr="00CB5120">
        <w:rPr>
          <w:sz w:val="18"/>
          <w:szCs w:val="18"/>
        </w:rPr>
        <w:t>PKR)</w:t>
      </w:r>
    </w:p>
    <w:tbl>
      <w:tblPr>
        <w:tblW w:w="9450" w:type="dxa"/>
        <w:tblInd w:w="-370" w:type="dxa"/>
        <w:tblBorders>
          <w:top w:val="single" w:sz="8" w:space="0" w:color="45A7E1"/>
          <w:left w:val="single" w:sz="8" w:space="0" w:color="45A7E1"/>
          <w:bottom w:val="single" w:sz="8" w:space="0" w:color="45A7E1"/>
          <w:right w:val="single" w:sz="8" w:space="0" w:color="45A7E1"/>
          <w:insideH w:val="single" w:sz="8" w:space="0" w:color="45A7E1"/>
          <w:insideV w:val="single" w:sz="8" w:space="0" w:color="45A7E1"/>
        </w:tblBorders>
        <w:tblLayout w:type="fixed"/>
        <w:tblLook w:val="04A0" w:firstRow="1" w:lastRow="0" w:firstColumn="1" w:lastColumn="0" w:noHBand="0" w:noVBand="1"/>
      </w:tblPr>
      <w:tblGrid>
        <w:gridCol w:w="3240"/>
        <w:gridCol w:w="1440"/>
        <w:gridCol w:w="1710"/>
        <w:gridCol w:w="1507"/>
        <w:gridCol w:w="1553"/>
      </w:tblGrid>
      <w:tr w:rsidR="008E44F3" w:rsidRPr="008E44F3" w14:paraId="0B856AF6" w14:textId="77777777" w:rsidTr="00D03A56">
        <w:trPr>
          <w:trHeight w:val="319"/>
        </w:trPr>
        <w:tc>
          <w:tcPr>
            <w:tcW w:w="3240" w:type="dxa"/>
            <w:shd w:val="clear" w:color="000000" w:fill="0B1F51"/>
            <w:vAlign w:val="center"/>
          </w:tcPr>
          <w:p w14:paraId="6964E710" w14:textId="77777777" w:rsidR="008E44F3" w:rsidRPr="008E44F3" w:rsidRDefault="008E44F3" w:rsidP="00D03A56">
            <w:pPr>
              <w:spacing w:after="0" w:line="240" w:lineRule="auto"/>
              <w:rPr>
                <w:rFonts w:asciiTheme="minorHAnsi" w:eastAsia="Times New Roman" w:hAnsiTheme="minorHAnsi" w:cstheme="minorHAnsi"/>
                <w:color w:val="FFFFFF"/>
                <w:sz w:val="20"/>
                <w:szCs w:val="20"/>
                <w:lang w:eastAsia="en-US"/>
              </w:rPr>
            </w:pPr>
            <w:r w:rsidRPr="008E44F3">
              <w:rPr>
                <w:rFonts w:asciiTheme="minorHAnsi" w:hAnsiTheme="minorHAnsi" w:cstheme="minorHAnsi"/>
                <w:sz w:val="20"/>
                <w:szCs w:val="20"/>
              </w:rPr>
              <w:t>Non-surgical Diagnosis</w:t>
            </w:r>
          </w:p>
        </w:tc>
        <w:tc>
          <w:tcPr>
            <w:tcW w:w="1440" w:type="dxa"/>
            <w:shd w:val="clear" w:color="000000" w:fill="0B1F51"/>
            <w:noWrap/>
            <w:vAlign w:val="center"/>
          </w:tcPr>
          <w:p w14:paraId="5F0134FD" w14:textId="77777777" w:rsidR="008E44F3" w:rsidRPr="008E44F3" w:rsidRDefault="008E44F3" w:rsidP="00D03A56">
            <w:pPr>
              <w:spacing w:after="0" w:line="240" w:lineRule="auto"/>
              <w:jc w:val="center"/>
              <w:rPr>
                <w:rFonts w:asciiTheme="minorHAnsi" w:eastAsia="Times New Roman" w:hAnsiTheme="minorHAnsi" w:cstheme="minorHAnsi"/>
                <w:color w:val="FFFFFF"/>
                <w:sz w:val="20"/>
                <w:szCs w:val="20"/>
                <w:lang w:eastAsia="en-US"/>
              </w:rPr>
            </w:pPr>
            <w:r w:rsidRPr="008E44F3">
              <w:rPr>
                <w:rFonts w:asciiTheme="minorHAnsi" w:eastAsia="Times New Roman" w:hAnsiTheme="minorHAnsi" w:cstheme="minorHAnsi"/>
                <w:color w:val="FFFFFF"/>
                <w:sz w:val="20"/>
                <w:szCs w:val="20"/>
                <w:lang w:eastAsia="en-US"/>
              </w:rPr>
              <w:t>Total Admissions</w:t>
            </w:r>
          </w:p>
        </w:tc>
        <w:tc>
          <w:tcPr>
            <w:tcW w:w="1710" w:type="dxa"/>
            <w:shd w:val="clear" w:color="000000" w:fill="0B1F51"/>
            <w:vAlign w:val="center"/>
          </w:tcPr>
          <w:p w14:paraId="4C5AC87E" w14:textId="77777777" w:rsidR="008E44F3" w:rsidRPr="008E44F3" w:rsidRDefault="008E44F3" w:rsidP="00D03A56">
            <w:pPr>
              <w:spacing w:after="0" w:line="240" w:lineRule="auto"/>
              <w:jc w:val="center"/>
              <w:rPr>
                <w:rFonts w:asciiTheme="minorHAnsi" w:eastAsia="Times New Roman" w:hAnsiTheme="minorHAnsi" w:cstheme="minorHAnsi"/>
                <w:color w:val="FFFFFF"/>
                <w:sz w:val="20"/>
                <w:szCs w:val="20"/>
                <w:lang w:eastAsia="en-US"/>
              </w:rPr>
            </w:pPr>
            <w:r w:rsidRPr="008E44F3">
              <w:rPr>
                <w:rFonts w:asciiTheme="minorHAnsi" w:eastAsia="Times New Roman" w:hAnsiTheme="minorHAnsi" w:cstheme="minorHAnsi"/>
                <w:color w:val="FFFFFF"/>
                <w:sz w:val="20"/>
                <w:szCs w:val="20"/>
                <w:lang w:eastAsia="en-US"/>
              </w:rPr>
              <w:t xml:space="preserve">Average Claimed Amount </w:t>
            </w:r>
          </w:p>
        </w:tc>
        <w:tc>
          <w:tcPr>
            <w:tcW w:w="1507" w:type="dxa"/>
            <w:shd w:val="clear" w:color="000000" w:fill="0B1F51"/>
            <w:noWrap/>
            <w:vAlign w:val="center"/>
          </w:tcPr>
          <w:p w14:paraId="51CA69E8" w14:textId="77777777" w:rsidR="008E44F3" w:rsidRPr="008E44F3" w:rsidRDefault="008E44F3" w:rsidP="00D03A56">
            <w:pPr>
              <w:spacing w:after="0" w:line="240" w:lineRule="auto"/>
              <w:jc w:val="center"/>
              <w:rPr>
                <w:rFonts w:asciiTheme="minorHAnsi" w:eastAsia="Times New Roman" w:hAnsiTheme="minorHAnsi" w:cstheme="minorHAnsi"/>
                <w:color w:val="FFFFFF"/>
                <w:sz w:val="20"/>
                <w:szCs w:val="20"/>
                <w:lang w:eastAsia="en-US"/>
              </w:rPr>
            </w:pPr>
            <w:r w:rsidRPr="008E44F3">
              <w:rPr>
                <w:rFonts w:asciiTheme="minorHAnsi" w:eastAsia="Times New Roman" w:hAnsiTheme="minorHAnsi" w:cstheme="minorHAnsi"/>
                <w:color w:val="FFFFFF"/>
                <w:sz w:val="20"/>
                <w:szCs w:val="20"/>
                <w:lang w:eastAsia="en-US"/>
              </w:rPr>
              <w:t>Minimum</w:t>
            </w:r>
          </w:p>
        </w:tc>
        <w:tc>
          <w:tcPr>
            <w:tcW w:w="1553" w:type="dxa"/>
            <w:shd w:val="clear" w:color="000000" w:fill="0B1F51"/>
            <w:vAlign w:val="center"/>
          </w:tcPr>
          <w:p w14:paraId="5D4DC4D8" w14:textId="77777777" w:rsidR="008E44F3" w:rsidRPr="008E44F3" w:rsidRDefault="008E44F3" w:rsidP="00D03A56">
            <w:pPr>
              <w:spacing w:after="0" w:line="240" w:lineRule="auto"/>
              <w:jc w:val="center"/>
              <w:rPr>
                <w:rFonts w:asciiTheme="minorHAnsi" w:eastAsia="Times New Roman" w:hAnsiTheme="minorHAnsi" w:cstheme="minorHAnsi"/>
                <w:color w:val="FFFFFF"/>
                <w:sz w:val="20"/>
                <w:szCs w:val="20"/>
                <w:lang w:eastAsia="en-US"/>
              </w:rPr>
            </w:pPr>
            <w:r w:rsidRPr="008E44F3">
              <w:rPr>
                <w:rFonts w:asciiTheme="minorHAnsi" w:eastAsia="Times New Roman" w:hAnsiTheme="minorHAnsi" w:cstheme="minorHAnsi"/>
                <w:color w:val="FFFFFF"/>
                <w:sz w:val="20"/>
                <w:szCs w:val="20"/>
                <w:lang w:eastAsia="en-US"/>
              </w:rPr>
              <w:t>Maximum</w:t>
            </w:r>
          </w:p>
        </w:tc>
      </w:tr>
      <w:tr w:rsidR="008E44F3" w:rsidRPr="008E44F3" w14:paraId="21FD1CF7" w14:textId="77777777" w:rsidTr="00D03A56">
        <w:trPr>
          <w:trHeight w:val="288"/>
        </w:trPr>
        <w:tc>
          <w:tcPr>
            <w:tcW w:w="3240" w:type="dxa"/>
            <w:shd w:val="clear" w:color="000000" w:fill="DBE4ED"/>
            <w:noWrap/>
            <w:vAlign w:val="bottom"/>
          </w:tcPr>
          <w:p w14:paraId="186526B4" w14:textId="77777777" w:rsidR="008E44F3" w:rsidRPr="008E44F3" w:rsidRDefault="008E44F3" w:rsidP="00D03A56">
            <w:pPr>
              <w:spacing w:after="0" w:line="240" w:lineRule="auto"/>
              <w:rPr>
                <w:rFonts w:asciiTheme="minorHAnsi" w:eastAsia="Times New Roman" w:hAnsiTheme="minorHAnsi" w:cstheme="minorHAnsi"/>
                <w:color w:val="000000"/>
                <w:sz w:val="20"/>
                <w:szCs w:val="20"/>
                <w:lang w:eastAsia="en-US"/>
              </w:rPr>
            </w:pPr>
            <w:r w:rsidRPr="008E44F3">
              <w:rPr>
                <w:rFonts w:asciiTheme="minorHAnsi" w:hAnsiTheme="minorHAnsi" w:cstheme="minorHAnsi"/>
                <w:color w:val="000000"/>
                <w:sz w:val="20"/>
                <w:szCs w:val="20"/>
              </w:rPr>
              <w:t>Acute Appendicitis / Appendectomy</w:t>
            </w:r>
          </w:p>
        </w:tc>
        <w:tc>
          <w:tcPr>
            <w:tcW w:w="1440" w:type="dxa"/>
            <w:shd w:val="clear" w:color="000000" w:fill="DBE4ED"/>
            <w:noWrap/>
            <w:vAlign w:val="center"/>
          </w:tcPr>
          <w:p w14:paraId="7B8A77DE" w14:textId="77777777" w:rsidR="008E44F3" w:rsidRPr="008E44F3" w:rsidRDefault="008E44F3" w:rsidP="00D03A56">
            <w:pPr>
              <w:spacing w:after="0" w:line="240" w:lineRule="auto"/>
              <w:jc w:val="center"/>
              <w:rPr>
                <w:rFonts w:asciiTheme="minorHAnsi" w:hAnsiTheme="minorHAnsi" w:cstheme="minorHAnsi"/>
                <w:color w:val="000000"/>
                <w:sz w:val="20"/>
                <w:szCs w:val="20"/>
                <w:lang w:val="en-US" w:eastAsia="en-US"/>
              </w:rPr>
            </w:pPr>
            <w:r w:rsidRPr="008E44F3">
              <w:rPr>
                <w:rFonts w:asciiTheme="minorHAnsi" w:hAnsiTheme="minorHAnsi" w:cstheme="minorHAnsi"/>
                <w:color w:val="000000"/>
                <w:sz w:val="20"/>
                <w:szCs w:val="20"/>
              </w:rPr>
              <w:t>91</w:t>
            </w:r>
          </w:p>
        </w:tc>
        <w:tc>
          <w:tcPr>
            <w:tcW w:w="1710" w:type="dxa"/>
            <w:shd w:val="clear" w:color="000000" w:fill="DBE4ED"/>
            <w:noWrap/>
            <w:vAlign w:val="center"/>
          </w:tcPr>
          <w:p w14:paraId="0A256D7F" w14:textId="77777777" w:rsidR="008E44F3" w:rsidRPr="008E44F3" w:rsidRDefault="008E44F3" w:rsidP="00D03A56">
            <w:pPr>
              <w:spacing w:after="0" w:line="240" w:lineRule="auto"/>
              <w:jc w:val="center"/>
              <w:rPr>
                <w:rFonts w:asciiTheme="minorHAnsi" w:hAnsiTheme="minorHAnsi" w:cstheme="minorHAnsi"/>
                <w:color w:val="000000"/>
                <w:sz w:val="20"/>
                <w:szCs w:val="20"/>
                <w:lang w:val="en-US" w:eastAsia="en-US"/>
              </w:rPr>
            </w:pPr>
            <w:r w:rsidRPr="008E44F3">
              <w:rPr>
                <w:rFonts w:asciiTheme="minorHAnsi" w:hAnsiTheme="minorHAnsi" w:cstheme="minorHAnsi"/>
                <w:color w:val="000000"/>
                <w:sz w:val="20"/>
                <w:szCs w:val="20"/>
              </w:rPr>
              <w:t>12,814</w:t>
            </w:r>
          </w:p>
        </w:tc>
        <w:tc>
          <w:tcPr>
            <w:tcW w:w="1507" w:type="dxa"/>
            <w:shd w:val="clear" w:color="000000" w:fill="DBE4ED"/>
            <w:noWrap/>
            <w:vAlign w:val="center"/>
          </w:tcPr>
          <w:p w14:paraId="58E65FB3" w14:textId="77777777" w:rsidR="008E44F3" w:rsidRPr="008E44F3" w:rsidRDefault="008E44F3" w:rsidP="00D03A56">
            <w:pPr>
              <w:spacing w:after="0" w:line="240" w:lineRule="auto"/>
              <w:jc w:val="center"/>
              <w:rPr>
                <w:rFonts w:asciiTheme="minorHAnsi" w:hAnsiTheme="minorHAnsi" w:cstheme="minorHAnsi"/>
                <w:color w:val="000000"/>
                <w:sz w:val="20"/>
                <w:szCs w:val="20"/>
              </w:rPr>
            </w:pPr>
            <w:r w:rsidRPr="008E44F3">
              <w:rPr>
                <w:rFonts w:asciiTheme="minorHAnsi" w:hAnsiTheme="minorHAnsi" w:cstheme="minorHAnsi"/>
                <w:color w:val="000000"/>
                <w:sz w:val="20"/>
                <w:szCs w:val="20"/>
              </w:rPr>
              <w:t>1,775</w:t>
            </w:r>
          </w:p>
        </w:tc>
        <w:tc>
          <w:tcPr>
            <w:tcW w:w="1553" w:type="dxa"/>
            <w:shd w:val="clear" w:color="000000" w:fill="DBE4ED"/>
            <w:noWrap/>
            <w:vAlign w:val="center"/>
          </w:tcPr>
          <w:p w14:paraId="18F24992" w14:textId="77777777" w:rsidR="008E44F3" w:rsidRPr="008E44F3" w:rsidRDefault="008E44F3" w:rsidP="00D03A56">
            <w:pPr>
              <w:spacing w:after="0" w:line="240" w:lineRule="auto"/>
              <w:jc w:val="center"/>
              <w:rPr>
                <w:rFonts w:asciiTheme="minorHAnsi" w:hAnsiTheme="minorHAnsi" w:cstheme="minorHAnsi"/>
                <w:color w:val="000000"/>
                <w:sz w:val="20"/>
                <w:szCs w:val="20"/>
              </w:rPr>
            </w:pPr>
            <w:r w:rsidRPr="008E44F3">
              <w:rPr>
                <w:rFonts w:asciiTheme="minorHAnsi" w:hAnsiTheme="minorHAnsi" w:cstheme="minorHAnsi"/>
                <w:color w:val="000000"/>
                <w:sz w:val="20"/>
                <w:szCs w:val="20"/>
              </w:rPr>
              <w:t>40,000</w:t>
            </w:r>
          </w:p>
        </w:tc>
      </w:tr>
      <w:tr w:rsidR="008E44F3" w:rsidRPr="008E44F3" w14:paraId="31944D3E" w14:textId="77777777" w:rsidTr="00D03A56">
        <w:trPr>
          <w:trHeight w:val="288"/>
        </w:trPr>
        <w:tc>
          <w:tcPr>
            <w:tcW w:w="3240" w:type="dxa"/>
            <w:shd w:val="clear" w:color="000000" w:fill="DBE4ED"/>
            <w:noWrap/>
            <w:vAlign w:val="bottom"/>
          </w:tcPr>
          <w:p w14:paraId="064CE8AE" w14:textId="77777777" w:rsidR="008E44F3" w:rsidRPr="008E44F3" w:rsidRDefault="008E44F3" w:rsidP="00D03A56">
            <w:pPr>
              <w:spacing w:after="0" w:line="240" w:lineRule="auto"/>
              <w:rPr>
                <w:rFonts w:asciiTheme="minorHAnsi" w:hAnsiTheme="minorHAnsi" w:cstheme="minorHAnsi"/>
                <w:color w:val="000000"/>
                <w:sz w:val="20"/>
                <w:szCs w:val="20"/>
              </w:rPr>
            </w:pPr>
            <w:r w:rsidRPr="008E44F3">
              <w:rPr>
                <w:rFonts w:asciiTheme="minorHAnsi" w:hAnsiTheme="minorHAnsi" w:cstheme="minorHAnsi"/>
                <w:color w:val="000000"/>
                <w:sz w:val="20"/>
                <w:szCs w:val="20"/>
              </w:rPr>
              <w:t>Lower Segment Caesarean Section</w:t>
            </w:r>
          </w:p>
        </w:tc>
        <w:tc>
          <w:tcPr>
            <w:tcW w:w="1440" w:type="dxa"/>
            <w:shd w:val="clear" w:color="000000" w:fill="DBE4ED"/>
            <w:noWrap/>
            <w:vAlign w:val="center"/>
          </w:tcPr>
          <w:p w14:paraId="4F87107C" w14:textId="77777777" w:rsidR="008E44F3" w:rsidRPr="008E44F3" w:rsidRDefault="008E44F3" w:rsidP="00D03A56">
            <w:pPr>
              <w:spacing w:after="0" w:line="240" w:lineRule="auto"/>
              <w:jc w:val="center"/>
              <w:rPr>
                <w:rFonts w:asciiTheme="minorHAnsi" w:hAnsiTheme="minorHAnsi" w:cstheme="minorHAnsi"/>
                <w:color w:val="000000"/>
                <w:sz w:val="20"/>
                <w:szCs w:val="20"/>
              </w:rPr>
            </w:pPr>
            <w:r w:rsidRPr="008E44F3">
              <w:rPr>
                <w:rFonts w:asciiTheme="minorHAnsi" w:hAnsiTheme="minorHAnsi" w:cstheme="minorHAnsi"/>
                <w:color w:val="000000"/>
                <w:sz w:val="20"/>
                <w:szCs w:val="20"/>
              </w:rPr>
              <w:t>24</w:t>
            </w:r>
          </w:p>
        </w:tc>
        <w:tc>
          <w:tcPr>
            <w:tcW w:w="1710" w:type="dxa"/>
            <w:shd w:val="clear" w:color="000000" w:fill="DBE4ED"/>
            <w:noWrap/>
            <w:vAlign w:val="center"/>
          </w:tcPr>
          <w:p w14:paraId="0B904482" w14:textId="77777777" w:rsidR="008E44F3" w:rsidRPr="008E44F3" w:rsidRDefault="008E44F3" w:rsidP="00D03A56">
            <w:pPr>
              <w:spacing w:after="0" w:line="240" w:lineRule="auto"/>
              <w:jc w:val="center"/>
              <w:rPr>
                <w:rFonts w:asciiTheme="minorHAnsi" w:hAnsiTheme="minorHAnsi" w:cstheme="minorHAnsi"/>
                <w:color w:val="000000"/>
                <w:sz w:val="20"/>
                <w:szCs w:val="20"/>
              </w:rPr>
            </w:pPr>
            <w:r w:rsidRPr="008E44F3">
              <w:rPr>
                <w:rFonts w:asciiTheme="minorHAnsi" w:hAnsiTheme="minorHAnsi" w:cstheme="minorHAnsi"/>
                <w:color w:val="000000"/>
                <w:sz w:val="20"/>
                <w:szCs w:val="20"/>
              </w:rPr>
              <w:t>19,217</w:t>
            </w:r>
          </w:p>
        </w:tc>
        <w:tc>
          <w:tcPr>
            <w:tcW w:w="1507" w:type="dxa"/>
            <w:shd w:val="clear" w:color="000000" w:fill="DBE4ED"/>
            <w:noWrap/>
            <w:vAlign w:val="center"/>
          </w:tcPr>
          <w:p w14:paraId="38A0F270" w14:textId="77777777" w:rsidR="008E44F3" w:rsidRPr="008E44F3" w:rsidRDefault="008E44F3" w:rsidP="00D03A56">
            <w:pPr>
              <w:spacing w:after="0" w:line="240" w:lineRule="auto"/>
              <w:jc w:val="center"/>
              <w:rPr>
                <w:rFonts w:asciiTheme="minorHAnsi" w:hAnsiTheme="minorHAnsi" w:cstheme="minorHAnsi"/>
                <w:color w:val="000000"/>
                <w:sz w:val="20"/>
                <w:szCs w:val="20"/>
              </w:rPr>
            </w:pPr>
            <w:r w:rsidRPr="008E44F3">
              <w:rPr>
                <w:rFonts w:asciiTheme="minorHAnsi" w:hAnsiTheme="minorHAnsi" w:cstheme="minorHAnsi"/>
                <w:color w:val="000000"/>
                <w:sz w:val="20"/>
                <w:szCs w:val="20"/>
              </w:rPr>
              <w:t>5,524</w:t>
            </w:r>
          </w:p>
        </w:tc>
        <w:tc>
          <w:tcPr>
            <w:tcW w:w="1553" w:type="dxa"/>
            <w:shd w:val="clear" w:color="000000" w:fill="DBE4ED"/>
            <w:noWrap/>
            <w:vAlign w:val="center"/>
          </w:tcPr>
          <w:p w14:paraId="118189E8" w14:textId="77777777" w:rsidR="008E44F3" w:rsidRPr="008E44F3" w:rsidRDefault="008E44F3" w:rsidP="00D03A56">
            <w:pPr>
              <w:spacing w:after="0" w:line="240" w:lineRule="auto"/>
              <w:jc w:val="center"/>
              <w:rPr>
                <w:rFonts w:asciiTheme="minorHAnsi" w:hAnsiTheme="minorHAnsi" w:cstheme="minorHAnsi"/>
                <w:color w:val="000000"/>
                <w:sz w:val="20"/>
                <w:szCs w:val="20"/>
              </w:rPr>
            </w:pPr>
            <w:r w:rsidRPr="008E44F3">
              <w:rPr>
                <w:rFonts w:asciiTheme="minorHAnsi" w:hAnsiTheme="minorHAnsi" w:cstheme="minorHAnsi"/>
                <w:color w:val="000000"/>
                <w:sz w:val="20"/>
                <w:szCs w:val="20"/>
              </w:rPr>
              <w:t>24,000</w:t>
            </w:r>
          </w:p>
        </w:tc>
      </w:tr>
      <w:tr w:rsidR="008E44F3" w:rsidRPr="008E44F3" w14:paraId="6349B92B" w14:textId="77777777" w:rsidTr="00D03A56">
        <w:trPr>
          <w:trHeight w:val="288"/>
        </w:trPr>
        <w:tc>
          <w:tcPr>
            <w:tcW w:w="3240" w:type="dxa"/>
            <w:shd w:val="clear" w:color="000000" w:fill="DBE4ED"/>
            <w:noWrap/>
            <w:vAlign w:val="bottom"/>
          </w:tcPr>
          <w:p w14:paraId="216413B3" w14:textId="77777777" w:rsidR="008E44F3" w:rsidRPr="008E44F3" w:rsidRDefault="008E44F3" w:rsidP="00D03A56">
            <w:pPr>
              <w:spacing w:after="0" w:line="240" w:lineRule="auto"/>
              <w:rPr>
                <w:rFonts w:asciiTheme="minorHAnsi" w:eastAsia="Times New Roman" w:hAnsiTheme="minorHAnsi" w:cstheme="minorHAnsi"/>
                <w:color w:val="000000"/>
                <w:sz w:val="20"/>
                <w:szCs w:val="20"/>
                <w:lang w:eastAsia="en-US"/>
              </w:rPr>
            </w:pPr>
            <w:r w:rsidRPr="008E44F3">
              <w:rPr>
                <w:rFonts w:asciiTheme="minorHAnsi" w:hAnsiTheme="minorHAnsi" w:cstheme="minorHAnsi"/>
                <w:color w:val="000000"/>
                <w:sz w:val="20"/>
                <w:szCs w:val="20"/>
              </w:rPr>
              <w:t>Normal Delivery</w:t>
            </w:r>
          </w:p>
        </w:tc>
        <w:tc>
          <w:tcPr>
            <w:tcW w:w="1440" w:type="dxa"/>
            <w:shd w:val="clear" w:color="000000" w:fill="DBE4ED"/>
            <w:noWrap/>
            <w:vAlign w:val="center"/>
          </w:tcPr>
          <w:p w14:paraId="17547B25" w14:textId="77777777" w:rsidR="008E44F3" w:rsidRPr="008E44F3" w:rsidRDefault="008E44F3" w:rsidP="00D03A56">
            <w:pPr>
              <w:spacing w:after="0" w:line="240" w:lineRule="auto"/>
              <w:jc w:val="center"/>
              <w:rPr>
                <w:rFonts w:asciiTheme="minorHAnsi" w:hAnsiTheme="minorHAnsi" w:cstheme="minorHAnsi"/>
                <w:color w:val="000000"/>
                <w:sz w:val="20"/>
                <w:szCs w:val="20"/>
              </w:rPr>
            </w:pPr>
            <w:r w:rsidRPr="008E44F3">
              <w:rPr>
                <w:rFonts w:asciiTheme="minorHAnsi" w:hAnsiTheme="minorHAnsi" w:cstheme="minorHAnsi"/>
                <w:color w:val="000000"/>
                <w:sz w:val="20"/>
                <w:szCs w:val="20"/>
              </w:rPr>
              <w:t>18</w:t>
            </w:r>
          </w:p>
        </w:tc>
        <w:tc>
          <w:tcPr>
            <w:tcW w:w="1710" w:type="dxa"/>
            <w:shd w:val="clear" w:color="000000" w:fill="DBE4ED"/>
            <w:noWrap/>
            <w:vAlign w:val="center"/>
          </w:tcPr>
          <w:p w14:paraId="1F04E800" w14:textId="77777777" w:rsidR="008E44F3" w:rsidRPr="008E44F3" w:rsidRDefault="008E44F3" w:rsidP="00D03A56">
            <w:pPr>
              <w:spacing w:after="0" w:line="240" w:lineRule="auto"/>
              <w:jc w:val="center"/>
              <w:rPr>
                <w:rFonts w:asciiTheme="minorHAnsi" w:hAnsiTheme="minorHAnsi" w:cstheme="minorHAnsi"/>
                <w:color w:val="000000"/>
                <w:sz w:val="20"/>
                <w:szCs w:val="20"/>
              </w:rPr>
            </w:pPr>
            <w:r w:rsidRPr="008E44F3">
              <w:rPr>
                <w:rFonts w:asciiTheme="minorHAnsi" w:hAnsiTheme="minorHAnsi" w:cstheme="minorHAnsi"/>
                <w:color w:val="000000"/>
                <w:sz w:val="20"/>
                <w:szCs w:val="20"/>
              </w:rPr>
              <w:t>10,823</w:t>
            </w:r>
          </w:p>
        </w:tc>
        <w:tc>
          <w:tcPr>
            <w:tcW w:w="1507" w:type="dxa"/>
            <w:shd w:val="clear" w:color="000000" w:fill="DBE4ED"/>
            <w:noWrap/>
            <w:vAlign w:val="center"/>
          </w:tcPr>
          <w:p w14:paraId="1A450C43" w14:textId="77777777" w:rsidR="008E44F3" w:rsidRPr="008E44F3" w:rsidRDefault="008E44F3" w:rsidP="00D03A56">
            <w:pPr>
              <w:spacing w:after="0" w:line="240" w:lineRule="auto"/>
              <w:jc w:val="center"/>
              <w:rPr>
                <w:rFonts w:asciiTheme="minorHAnsi" w:hAnsiTheme="minorHAnsi" w:cstheme="minorHAnsi"/>
                <w:color w:val="000000"/>
                <w:sz w:val="20"/>
                <w:szCs w:val="20"/>
              </w:rPr>
            </w:pPr>
            <w:r w:rsidRPr="008E44F3">
              <w:rPr>
                <w:rFonts w:asciiTheme="minorHAnsi" w:hAnsiTheme="minorHAnsi" w:cstheme="minorHAnsi"/>
                <w:color w:val="000000"/>
                <w:sz w:val="20"/>
                <w:szCs w:val="20"/>
              </w:rPr>
              <w:t>3,214</w:t>
            </w:r>
          </w:p>
        </w:tc>
        <w:tc>
          <w:tcPr>
            <w:tcW w:w="1553" w:type="dxa"/>
            <w:shd w:val="clear" w:color="000000" w:fill="DBE4ED"/>
            <w:noWrap/>
            <w:vAlign w:val="center"/>
          </w:tcPr>
          <w:p w14:paraId="65F42C05" w14:textId="77777777" w:rsidR="008E44F3" w:rsidRPr="008E44F3" w:rsidRDefault="008E44F3" w:rsidP="00D03A56">
            <w:pPr>
              <w:spacing w:after="0" w:line="240" w:lineRule="auto"/>
              <w:jc w:val="center"/>
              <w:rPr>
                <w:rFonts w:asciiTheme="minorHAnsi" w:hAnsiTheme="minorHAnsi" w:cstheme="minorHAnsi"/>
                <w:color w:val="000000"/>
                <w:sz w:val="20"/>
                <w:szCs w:val="20"/>
              </w:rPr>
            </w:pPr>
            <w:r w:rsidRPr="008E44F3">
              <w:rPr>
                <w:rFonts w:asciiTheme="minorHAnsi" w:hAnsiTheme="minorHAnsi" w:cstheme="minorHAnsi"/>
                <w:color w:val="000000"/>
                <w:sz w:val="20"/>
                <w:szCs w:val="20"/>
              </w:rPr>
              <w:t>12,000</w:t>
            </w:r>
          </w:p>
        </w:tc>
      </w:tr>
      <w:tr w:rsidR="008E44F3" w:rsidRPr="008E44F3" w14:paraId="2C4EEEDE" w14:textId="77777777" w:rsidTr="00D03A56">
        <w:trPr>
          <w:trHeight w:val="288"/>
        </w:trPr>
        <w:tc>
          <w:tcPr>
            <w:tcW w:w="3240" w:type="dxa"/>
            <w:shd w:val="clear" w:color="000000" w:fill="DBE4ED"/>
            <w:noWrap/>
            <w:vAlign w:val="bottom"/>
          </w:tcPr>
          <w:p w14:paraId="1E51A268" w14:textId="77777777" w:rsidR="008E44F3" w:rsidRPr="008E44F3" w:rsidRDefault="008E44F3" w:rsidP="00D03A56">
            <w:pPr>
              <w:spacing w:after="0" w:line="240" w:lineRule="auto"/>
              <w:rPr>
                <w:rFonts w:asciiTheme="minorHAnsi" w:eastAsia="Times New Roman" w:hAnsiTheme="minorHAnsi" w:cstheme="minorHAnsi"/>
                <w:color w:val="000000"/>
                <w:sz w:val="20"/>
                <w:szCs w:val="20"/>
                <w:lang w:eastAsia="en-US"/>
              </w:rPr>
            </w:pPr>
            <w:r w:rsidRPr="008E44F3">
              <w:rPr>
                <w:rFonts w:asciiTheme="minorHAnsi" w:hAnsiTheme="minorHAnsi" w:cstheme="minorHAnsi"/>
                <w:color w:val="000000"/>
                <w:sz w:val="20"/>
                <w:szCs w:val="20"/>
              </w:rPr>
              <w:t>Abdominal Pain, unspecific</w:t>
            </w:r>
          </w:p>
        </w:tc>
        <w:tc>
          <w:tcPr>
            <w:tcW w:w="1440" w:type="dxa"/>
            <w:shd w:val="clear" w:color="000000" w:fill="DBE4ED"/>
            <w:noWrap/>
            <w:vAlign w:val="center"/>
          </w:tcPr>
          <w:p w14:paraId="3CD025F4" w14:textId="77777777" w:rsidR="008E44F3" w:rsidRPr="008E44F3" w:rsidRDefault="008E44F3" w:rsidP="00D03A56">
            <w:pPr>
              <w:spacing w:after="0" w:line="240" w:lineRule="auto"/>
              <w:jc w:val="center"/>
              <w:rPr>
                <w:rFonts w:asciiTheme="minorHAnsi" w:hAnsiTheme="minorHAnsi" w:cstheme="minorHAnsi"/>
                <w:color w:val="000000"/>
                <w:sz w:val="20"/>
                <w:szCs w:val="20"/>
              </w:rPr>
            </w:pPr>
            <w:r w:rsidRPr="008E44F3">
              <w:rPr>
                <w:rFonts w:asciiTheme="minorHAnsi" w:hAnsiTheme="minorHAnsi" w:cstheme="minorHAnsi"/>
                <w:color w:val="000000"/>
                <w:sz w:val="20"/>
                <w:szCs w:val="20"/>
              </w:rPr>
              <w:t>16</w:t>
            </w:r>
          </w:p>
        </w:tc>
        <w:tc>
          <w:tcPr>
            <w:tcW w:w="1710" w:type="dxa"/>
            <w:shd w:val="clear" w:color="000000" w:fill="DBE4ED"/>
            <w:noWrap/>
            <w:vAlign w:val="center"/>
          </w:tcPr>
          <w:p w14:paraId="184CE7FF" w14:textId="77777777" w:rsidR="008E44F3" w:rsidRPr="008E44F3" w:rsidRDefault="008E44F3" w:rsidP="00D03A56">
            <w:pPr>
              <w:spacing w:after="0" w:line="240" w:lineRule="auto"/>
              <w:jc w:val="center"/>
              <w:rPr>
                <w:rFonts w:asciiTheme="minorHAnsi" w:hAnsiTheme="minorHAnsi" w:cstheme="minorHAnsi"/>
                <w:color w:val="000000"/>
                <w:sz w:val="20"/>
                <w:szCs w:val="20"/>
              </w:rPr>
            </w:pPr>
            <w:r w:rsidRPr="008E44F3">
              <w:rPr>
                <w:rFonts w:asciiTheme="minorHAnsi" w:hAnsiTheme="minorHAnsi" w:cstheme="minorHAnsi"/>
                <w:color w:val="000000"/>
                <w:sz w:val="20"/>
                <w:szCs w:val="20"/>
              </w:rPr>
              <w:t>13,361</w:t>
            </w:r>
          </w:p>
        </w:tc>
        <w:tc>
          <w:tcPr>
            <w:tcW w:w="1507" w:type="dxa"/>
            <w:shd w:val="clear" w:color="000000" w:fill="DBE4ED"/>
            <w:noWrap/>
            <w:vAlign w:val="center"/>
          </w:tcPr>
          <w:p w14:paraId="596CD9C2" w14:textId="77777777" w:rsidR="008E44F3" w:rsidRPr="008E44F3" w:rsidRDefault="008E44F3" w:rsidP="00D03A56">
            <w:pPr>
              <w:spacing w:after="0" w:line="240" w:lineRule="auto"/>
              <w:jc w:val="center"/>
              <w:rPr>
                <w:rFonts w:asciiTheme="minorHAnsi" w:hAnsiTheme="minorHAnsi" w:cstheme="minorHAnsi"/>
                <w:color w:val="000000"/>
                <w:sz w:val="20"/>
                <w:szCs w:val="20"/>
              </w:rPr>
            </w:pPr>
            <w:r w:rsidRPr="008E44F3">
              <w:rPr>
                <w:rFonts w:asciiTheme="minorHAnsi" w:hAnsiTheme="minorHAnsi" w:cstheme="minorHAnsi"/>
                <w:color w:val="000000"/>
                <w:sz w:val="20"/>
                <w:szCs w:val="20"/>
              </w:rPr>
              <w:t>827</w:t>
            </w:r>
          </w:p>
        </w:tc>
        <w:tc>
          <w:tcPr>
            <w:tcW w:w="1553" w:type="dxa"/>
            <w:shd w:val="clear" w:color="000000" w:fill="DBE4ED"/>
            <w:noWrap/>
            <w:vAlign w:val="center"/>
          </w:tcPr>
          <w:p w14:paraId="3FEAC330" w14:textId="77777777" w:rsidR="008E44F3" w:rsidRPr="008E44F3" w:rsidRDefault="008E44F3" w:rsidP="00D03A56">
            <w:pPr>
              <w:spacing w:after="0" w:line="240" w:lineRule="auto"/>
              <w:jc w:val="center"/>
              <w:rPr>
                <w:rFonts w:asciiTheme="minorHAnsi" w:hAnsiTheme="minorHAnsi" w:cstheme="minorHAnsi"/>
                <w:color w:val="000000"/>
                <w:sz w:val="20"/>
                <w:szCs w:val="20"/>
              </w:rPr>
            </w:pPr>
            <w:r w:rsidRPr="008E44F3">
              <w:rPr>
                <w:rFonts w:asciiTheme="minorHAnsi" w:hAnsiTheme="minorHAnsi" w:cstheme="minorHAnsi"/>
                <w:color w:val="000000"/>
                <w:sz w:val="20"/>
                <w:szCs w:val="20"/>
              </w:rPr>
              <w:t>40,000</w:t>
            </w:r>
          </w:p>
        </w:tc>
      </w:tr>
      <w:tr w:rsidR="008E44F3" w:rsidRPr="008E44F3" w14:paraId="7174A538" w14:textId="77777777" w:rsidTr="00D03A56">
        <w:trPr>
          <w:trHeight w:val="288"/>
        </w:trPr>
        <w:tc>
          <w:tcPr>
            <w:tcW w:w="3240" w:type="dxa"/>
            <w:shd w:val="clear" w:color="000000" w:fill="DBE4ED"/>
            <w:noWrap/>
            <w:vAlign w:val="bottom"/>
          </w:tcPr>
          <w:p w14:paraId="6B2E79BC" w14:textId="77777777" w:rsidR="008E44F3" w:rsidRPr="008E44F3" w:rsidRDefault="008E44F3" w:rsidP="00D03A56">
            <w:pPr>
              <w:spacing w:after="0" w:line="240" w:lineRule="auto"/>
              <w:rPr>
                <w:rFonts w:asciiTheme="minorHAnsi" w:eastAsia="Times New Roman" w:hAnsiTheme="minorHAnsi" w:cstheme="minorHAnsi"/>
                <w:color w:val="000000"/>
                <w:sz w:val="20"/>
                <w:szCs w:val="20"/>
                <w:lang w:eastAsia="en-US"/>
              </w:rPr>
            </w:pPr>
            <w:r w:rsidRPr="008E44F3">
              <w:rPr>
                <w:rFonts w:asciiTheme="minorHAnsi" w:hAnsiTheme="minorHAnsi" w:cstheme="minorHAnsi"/>
                <w:color w:val="000000"/>
                <w:sz w:val="20"/>
                <w:szCs w:val="20"/>
              </w:rPr>
              <w:t>Pregnancy, other complications</w:t>
            </w:r>
          </w:p>
        </w:tc>
        <w:tc>
          <w:tcPr>
            <w:tcW w:w="1440" w:type="dxa"/>
            <w:shd w:val="clear" w:color="000000" w:fill="DBE4ED"/>
            <w:noWrap/>
            <w:vAlign w:val="center"/>
          </w:tcPr>
          <w:p w14:paraId="71011F40" w14:textId="77777777" w:rsidR="008E44F3" w:rsidRPr="008E44F3" w:rsidRDefault="008E44F3" w:rsidP="00D03A56">
            <w:pPr>
              <w:spacing w:after="0" w:line="240" w:lineRule="auto"/>
              <w:jc w:val="center"/>
              <w:rPr>
                <w:rFonts w:asciiTheme="minorHAnsi" w:hAnsiTheme="minorHAnsi" w:cstheme="minorHAnsi"/>
                <w:color w:val="000000"/>
                <w:sz w:val="20"/>
                <w:szCs w:val="20"/>
              </w:rPr>
            </w:pPr>
            <w:r w:rsidRPr="008E44F3">
              <w:rPr>
                <w:rFonts w:asciiTheme="minorHAnsi" w:hAnsiTheme="minorHAnsi" w:cstheme="minorHAnsi"/>
                <w:color w:val="000000"/>
                <w:sz w:val="20"/>
                <w:szCs w:val="20"/>
              </w:rPr>
              <w:t>13</w:t>
            </w:r>
          </w:p>
        </w:tc>
        <w:tc>
          <w:tcPr>
            <w:tcW w:w="1710" w:type="dxa"/>
            <w:shd w:val="clear" w:color="000000" w:fill="DBE4ED"/>
            <w:noWrap/>
            <w:vAlign w:val="center"/>
          </w:tcPr>
          <w:p w14:paraId="5318C120" w14:textId="77777777" w:rsidR="008E44F3" w:rsidRPr="008E44F3" w:rsidRDefault="008E44F3" w:rsidP="00D03A56">
            <w:pPr>
              <w:spacing w:after="0" w:line="240" w:lineRule="auto"/>
              <w:jc w:val="center"/>
              <w:rPr>
                <w:rFonts w:asciiTheme="minorHAnsi" w:hAnsiTheme="minorHAnsi" w:cstheme="minorHAnsi"/>
                <w:color w:val="000000"/>
                <w:sz w:val="20"/>
                <w:szCs w:val="20"/>
              </w:rPr>
            </w:pPr>
            <w:r w:rsidRPr="008E44F3">
              <w:rPr>
                <w:rFonts w:asciiTheme="minorHAnsi" w:hAnsiTheme="minorHAnsi" w:cstheme="minorHAnsi"/>
                <w:color w:val="000000"/>
                <w:sz w:val="20"/>
                <w:szCs w:val="20"/>
              </w:rPr>
              <w:t>11,189</w:t>
            </w:r>
          </w:p>
        </w:tc>
        <w:tc>
          <w:tcPr>
            <w:tcW w:w="1507" w:type="dxa"/>
            <w:shd w:val="clear" w:color="000000" w:fill="DBE4ED"/>
            <w:noWrap/>
            <w:vAlign w:val="center"/>
          </w:tcPr>
          <w:p w14:paraId="77B5D199" w14:textId="77777777" w:rsidR="008E44F3" w:rsidRPr="008E44F3" w:rsidRDefault="008E44F3" w:rsidP="00D03A56">
            <w:pPr>
              <w:spacing w:after="0" w:line="240" w:lineRule="auto"/>
              <w:jc w:val="center"/>
              <w:rPr>
                <w:rFonts w:asciiTheme="minorHAnsi" w:hAnsiTheme="minorHAnsi" w:cstheme="minorHAnsi"/>
                <w:color w:val="000000"/>
                <w:sz w:val="20"/>
                <w:szCs w:val="20"/>
              </w:rPr>
            </w:pPr>
            <w:r w:rsidRPr="008E44F3">
              <w:rPr>
                <w:rFonts w:asciiTheme="minorHAnsi" w:hAnsiTheme="minorHAnsi" w:cstheme="minorHAnsi"/>
                <w:color w:val="000000"/>
                <w:sz w:val="20"/>
                <w:szCs w:val="20"/>
              </w:rPr>
              <w:t>5,627</w:t>
            </w:r>
          </w:p>
        </w:tc>
        <w:tc>
          <w:tcPr>
            <w:tcW w:w="1553" w:type="dxa"/>
            <w:shd w:val="clear" w:color="000000" w:fill="DBE4ED"/>
            <w:noWrap/>
            <w:vAlign w:val="center"/>
          </w:tcPr>
          <w:p w14:paraId="1536C6C8" w14:textId="77777777" w:rsidR="008E44F3" w:rsidRPr="008E44F3" w:rsidRDefault="008E44F3" w:rsidP="00D03A56">
            <w:pPr>
              <w:spacing w:after="0" w:line="240" w:lineRule="auto"/>
              <w:jc w:val="center"/>
              <w:rPr>
                <w:rFonts w:asciiTheme="minorHAnsi" w:hAnsiTheme="minorHAnsi" w:cstheme="minorHAnsi"/>
                <w:color w:val="000000"/>
                <w:sz w:val="20"/>
                <w:szCs w:val="20"/>
              </w:rPr>
            </w:pPr>
            <w:r w:rsidRPr="008E44F3">
              <w:rPr>
                <w:rFonts w:asciiTheme="minorHAnsi" w:hAnsiTheme="minorHAnsi" w:cstheme="minorHAnsi"/>
                <w:color w:val="000000"/>
                <w:sz w:val="20"/>
                <w:szCs w:val="20"/>
              </w:rPr>
              <w:t>24,000</w:t>
            </w:r>
          </w:p>
        </w:tc>
      </w:tr>
      <w:tr w:rsidR="008E44F3" w:rsidRPr="008E44F3" w14:paraId="5E5C7B29" w14:textId="77777777" w:rsidTr="00D03A56">
        <w:trPr>
          <w:trHeight w:val="288"/>
        </w:trPr>
        <w:tc>
          <w:tcPr>
            <w:tcW w:w="3240" w:type="dxa"/>
            <w:shd w:val="clear" w:color="000000" w:fill="DBE4ED"/>
            <w:noWrap/>
            <w:vAlign w:val="bottom"/>
          </w:tcPr>
          <w:p w14:paraId="22F348E3" w14:textId="77777777" w:rsidR="008E44F3" w:rsidRPr="008E44F3" w:rsidRDefault="008E44F3" w:rsidP="00D03A56">
            <w:pPr>
              <w:spacing w:after="0" w:line="240" w:lineRule="auto"/>
              <w:rPr>
                <w:rFonts w:asciiTheme="minorHAnsi" w:eastAsia="Times New Roman" w:hAnsiTheme="minorHAnsi" w:cstheme="minorHAnsi"/>
                <w:color w:val="000000"/>
                <w:sz w:val="20"/>
                <w:szCs w:val="20"/>
                <w:lang w:eastAsia="en-US"/>
              </w:rPr>
            </w:pPr>
            <w:r w:rsidRPr="008E44F3">
              <w:rPr>
                <w:rFonts w:asciiTheme="minorHAnsi" w:hAnsiTheme="minorHAnsi" w:cstheme="minorHAnsi"/>
                <w:color w:val="000000"/>
                <w:sz w:val="20"/>
                <w:szCs w:val="20"/>
              </w:rPr>
              <w:t>Cholelithiasis</w:t>
            </w:r>
          </w:p>
        </w:tc>
        <w:tc>
          <w:tcPr>
            <w:tcW w:w="1440" w:type="dxa"/>
            <w:shd w:val="clear" w:color="000000" w:fill="DBE4ED"/>
            <w:noWrap/>
            <w:vAlign w:val="center"/>
          </w:tcPr>
          <w:p w14:paraId="6A3FE389" w14:textId="77777777" w:rsidR="008E44F3" w:rsidRPr="008E44F3" w:rsidRDefault="008E44F3" w:rsidP="00D03A56">
            <w:pPr>
              <w:spacing w:after="0" w:line="240" w:lineRule="auto"/>
              <w:jc w:val="center"/>
              <w:rPr>
                <w:rFonts w:asciiTheme="minorHAnsi" w:hAnsiTheme="minorHAnsi" w:cstheme="minorHAnsi"/>
                <w:color w:val="000000"/>
                <w:sz w:val="20"/>
                <w:szCs w:val="20"/>
              </w:rPr>
            </w:pPr>
            <w:r w:rsidRPr="008E44F3">
              <w:rPr>
                <w:rFonts w:asciiTheme="minorHAnsi" w:hAnsiTheme="minorHAnsi" w:cstheme="minorHAnsi"/>
                <w:color w:val="000000"/>
                <w:sz w:val="20"/>
                <w:szCs w:val="20"/>
              </w:rPr>
              <w:t>10</w:t>
            </w:r>
          </w:p>
        </w:tc>
        <w:tc>
          <w:tcPr>
            <w:tcW w:w="1710" w:type="dxa"/>
            <w:shd w:val="clear" w:color="000000" w:fill="DBE4ED"/>
            <w:noWrap/>
            <w:vAlign w:val="center"/>
          </w:tcPr>
          <w:p w14:paraId="3008EC04" w14:textId="77777777" w:rsidR="008E44F3" w:rsidRPr="008E44F3" w:rsidRDefault="008E44F3" w:rsidP="00D03A56">
            <w:pPr>
              <w:spacing w:after="0" w:line="240" w:lineRule="auto"/>
              <w:jc w:val="center"/>
              <w:rPr>
                <w:rFonts w:asciiTheme="minorHAnsi" w:hAnsiTheme="minorHAnsi" w:cstheme="minorHAnsi"/>
                <w:color w:val="000000"/>
                <w:sz w:val="20"/>
                <w:szCs w:val="20"/>
              </w:rPr>
            </w:pPr>
            <w:r w:rsidRPr="008E44F3">
              <w:rPr>
                <w:rFonts w:asciiTheme="minorHAnsi" w:hAnsiTheme="minorHAnsi" w:cstheme="minorHAnsi"/>
                <w:color w:val="000000"/>
                <w:sz w:val="20"/>
                <w:szCs w:val="20"/>
              </w:rPr>
              <w:t>19,089</w:t>
            </w:r>
          </w:p>
        </w:tc>
        <w:tc>
          <w:tcPr>
            <w:tcW w:w="1507" w:type="dxa"/>
            <w:shd w:val="clear" w:color="000000" w:fill="DBE4ED"/>
            <w:noWrap/>
            <w:vAlign w:val="center"/>
          </w:tcPr>
          <w:p w14:paraId="615328D9" w14:textId="77777777" w:rsidR="008E44F3" w:rsidRPr="008E44F3" w:rsidRDefault="008E44F3" w:rsidP="00D03A56">
            <w:pPr>
              <w:spacing w:after="0" w:line="240" w:lineRule="auto"/>
              <w:jc w:val="center"/>
              <w:rPr>
                <w:rFonts w:asciiTheme="minorHAnsi" w:hAnsiTheme="minorHAnsi" w:cstheme="minorHAnsi"/>
                <w:color w:val="000000"/>
                <w:sz w:val="20"/>
                <w:szCs w:val="20"/>
              </w:rPr>
            </w:pPr>
            <w:r w:rsidRPr="008E44F3">
              <w:rPr>
                <w:rFonts w:asciiTheme="minorHAnsi" w:hAnsiTheme="minorHAnsi" w:cstheme="minorHAnsi"/>
                <w:color w:val="000000"/>
                <w:sz w:val="20"/>
                <w:szCs w:val="20"/>
              </w:rPr>
              <w:t>2,828</w:t>
            </w:r>
          </w:p>
        </w:tc>
        <w:tc>
          <w:tcPr>
            <w:tcW w:w="1553" w:type="dxa"/>
            <w:shd w:val="clear" w:color="000000" w:fill="DBE4ED"/>
            <w:noWrap/>
            <w:vAlign w:val="center"/>
          </w:tcPr>
          <w:p w14:paraId="4E52ED0A" w14:textId="77777777" w:rsidR="008E44F3" w:rsidRPr="008E44F3" w:rsidRDefault="008E44F3" w:rsidP="00D03A56">
            <w:pPr>
              <w:spacing w:after="0" w:line="240" w:lineRule="auto"/>
              <w:jc w:val="center"/>
              <w:rPr>
                <w:rFonts w:asciiTheme="minorHAnsi" w:hAnsiTheme="minorHAnsi" w:cstheme="minorHAnsi"/>
                <w:color w:val="000000"/>
                <w:sz w:val="20"/>
                <w:szCs w:val="20"/>
              </w:rPr>
            </w:pPr>
            <w:r w:rsidRPr="008E44F3">
              <w:rPr>
                <w:rFonts w:asciiTheme="minorHAnsi" w:hAnsiTheme="minorHAnsi" w:cstheme="minorHAnsi"/>
                <w:color w:val="000000"/>
                <w:sz w:val="20"/>
                <w:szCs w:val="20"/>
              </w:rPr>
              <w:t>40,000</w:t>
            </w:r>
          </w:p>
        </w:tc>
      </w:tr>
      <w:tr w:rsidR="008E44F3" w:rsidRPr="008E44F3" w14:paraId="2A2377DA" w14:textId="77777777" w:rsidTr="00D03A56">
        <w:trPr>
          <w:trHeight w:val="288"/>
        </w:trPr>
        <w:tc>
          <w:tcPr>
            <w:tcW w:w="3240" w:type="dxa"/>
            <w:shd w:val="clear" w:color="000000" w:fill="DBE4ED"/>
            <w:noWrap/>
            <w:vAlign w:val="bottom"/>
          </w:tcPr>
          <w:p w14:paraId="1CEDCEA1" w14:textId="77777777" w:rsidR="008E44F3" w:rsidRPr="008E44F3" w:rsidRDefault="008E44F3" w:rsidP="00D03A56">
            <w:pPr>
              <w:spacing w:after="0" w:line="240" w:lineRule="auto"/>
              <w:rPr>
                <w:rFonts w:asciiTheme="minorHAnsi" w:eastAsia="Times New Roman" w:hAnsiTheme="minorHAnsi" w:cstheme="minorHAnsi"/>
                <w:color w:val="000000"/>
                <w:sz w:val="20"/>
                <w:szCs w:val="20"/>
                <w:lang w:eastAsia="en-US"/>
              </w:rPr>
            </w:pPr>
            <w:r w:rsidRPr="008E44F3">
              <w:rPr>
                <w:rFonts w:asciiTheme="minorHAnsi" w:hAnsiTheme="minorHAnsi" w:cstheme="minorHAnsi"/>
                <w:color w:val="000000"/>
                <w:sz w:val="20"/>
                <w:szCs w:val="20"/>
              </w:rPr>
              <w:t xml:space="preserve">Fracture lower arm, </w:t>
            </w:r>
          </w:p>
        </w:tc>
        <w:tc>
          <w:tcPr>
            <w:tcW w:w="1440" w:type="dxa"/>
            <w:shd w:val="clear" w:color="000000" w:fill="DBE4ED"/>
            <w:noWrap/>
            <w:vAlign w:val="center"/>
          </w:tcPr>
          <w:p w14:paraId="6A1CBE31" w14:textId="77777777" w:rsidR="008E44F3" w:rsidRPr="008E44F3" w:rsidRDefault="008E44F3" w:rsidP="00D03A56">
            <w:pPr>
              <w:spacing w:after="0" w:line="240" w:lineRule="auto"/>
              <w:jc w:val="center"/>
              <w:rPr>
                <w:rFonts w:asciiTheme="minorHAnsi" w:hAnsiTheme="minorHAnsi" w:cstheme="minorHAnsi"/>
                <w:color w:val="000000"/>
                <w:sz w:val="20"/>
                <w:szCs w:val="20"/>
              </w:rPr>
            </w:pPr>
            <w:r w:rsidRPr="008E44F3">
              <w:rPr>
                <w:rFonts w:asciiTheme="minorHAnsi" w:hAnsiTheme="minorHAnsi" w:cstheme="minorHAnsi"/>
                <w:color w:val="000000"/>
                <w:sz w:val="20"/>
                <w:szCs w:val="20"/>
              </w:rPr>
              <w:t>10</w:t>
            </w:r>
          </w:p>
        </w:tc>
        <w:tc>
          <w:tcPr>
            <w:tcW w:w="1710" w:type="dxa"/>
            <w:shd w:val="clear" w:color="000000" w:fill="DBE4ED"/>
            <w:noWrap/>
            <w:vAlign w:val="center"/>
          </w:tcPr>
          <w:p w14:paraId="6BB9577B" w14:textId="77777777" w:rsidR="008E44F3" w:rsidRPr="008E44F3" w:rsidRDefault="008E44F3" w:rsidP="00D03A56">
            <w:pPr>
              <w:spacing w:after="0" w:line="240" w:lineRule="auto"/>
              <w:jc w:val="center"/>
              <w:rPr>
                <w:rFonts w:asciiTheme="minorHAnsi" w:hAnsiTheme="minorHAnsi" w:cstheme="minorHAnsi"/>
                <w:color w:val="000000"/>
                <w:sz w:val="20"/>
                <w:szCs w:val="20"/>
              </w:rPr>
            </w:pPr>
            <w:r w:rsidRPr="008E44F3">
              <w:rPr>
                <w:rFonts w:asciiTheme="minorHAnsi" w:hAnsiTheme="minorHAnsi" w:cstheme="minorHAnsi"/>
                <w:color w:val="000000"/>
                <w:sz w:val="20"/>
                <w:szCs w:val="20"/>
              </w:rPr>
              <w:t>18,581</w:t>
            </w:r>
          </w:p>
        </w:tc>
        <w:tc>
          <w:tcPr>
            <w:tcW w:w="1507" w:type="dxa"/>
            <w:shd w:val="clear" w:color="000000" w:fill="DBE4ED"/>
            <w:noWrap/>
            <w:vAlign w:val="center"/>
          </w:tcPr>
          <w:p w14:paraId="405E0949" w14:textId="77777777" w:rsidR="008E44F3" w:rsidRPr="008E44F3" w:rsidRDefault="008E44F3" w:rsidP="00D03A56">
            <w:pPr>
              <w:spacing w:after="0" w:line="240" w:lineRule="auto"/>
              <w:jc w:val="center"/>
              <w:rPr>
                <w:rFonts w:asciiTheme="minorHAnsi" w:hAnsiTheme="minorHAnsi" w:cstheme="minorHAnsi"/>
                <w:color w:val="000000"/>
                <w:sz w:val="20"/>
                <w:szCs w:val="20"/>
              </w:rPr>
            </w:pPr>
            <w:r w:rsidRPr="008E44F3">
              <w:rPr>
                <w:rFonts w:asciiTheme="minorHAnsi" w:hAnsiTheme="minorHAnsi" w:cstheme="minorHAnsi"/>
                <w:color w:val="000000"/>
                <w:sz w:val="20"/>
                <w:szCs w:val="20"/>
              </w:rPr>
              <w:t>5,680</w:t>
            </w:r>
          </w:p>
        </w:tc>
        <w:tc>
          <w:tcPr>
            <w:tcW w:w="1553" w:type="dxa"/>
            <w:shd w:val="clear" w:color="000000" w:fill="DBE4ED"/>
            <w:noWrap/>
            <w:vAlign w:val="center"/>
          </w:tcPr>
          <w:p w14:paraId="72971C3E" w14:textId="77777777" w:rsidR="008E44F3" w:rsidRPr="008E44F3" w:rsidRDefault="008E44F3" w:rsidP="00D03A56">
            <w:pPr>
              <w:spacing w:after="0" w:line="240" w:lineRule="auto"/>
              <w:jc w:val="center"/>
              <w:rPr>
                <w:rFonts w:asciiTheme="minorHAnsi" w:hAnsiTheme="minorHAnsi" w:cstheme="minorHAnsi"/>
                <w:color w:val="000000"/>
                <w:sz w:val="20"/>
                <w:szCs w:val="20"/>
              </w:rPr>
            </w:pPr>
            <w:r w:rsidRPr="008E44F3">
              <w:rPr>
                <w:rFonts w:asciiTheme="minorHAnsi" w:hAnsiTheme="minorHAnsi" w:cstheme="minorHAnsi"/>
                <w:color w:val="000000"/>
                <w:sz w:val="20"/>
                <w:szCs w:val="20"/>
              </w:rPr>
              <w:t>25,000</w:t>
            </w:r>
          </w:p>
        </w:tc>
      </w:tr>
      <w:tr w:rsidR="008E44F3" w:rsidRPr="008E44F3" w14:paraId="4766888A" w14:textId="77777777" w:rsidTr="00D03A56">
        <w:trPr>
          <w:trHeight w:val="288"/>
        </w:trPr>
        <w:tc>
          <w:tcPr>
            <w:tcW w:w="3240" w:type="dxa"/>
            <w:shd w:val="clear" w:color="000000" w:fill="DBE4ED"/>
            <w:noWrap/>
            <w:vAlign w:val="bottom"/>
          </w:tcPr>
          <w:p w14:paraId="2DB9AD74" w14:textId="77777777" w:rsidR="008E44F3" w:rsidRPr="008E44F3" w:rsidRDefault="008E44F3" w:rsidP="00D03A56">
            <w:pPr>
              <w:spacing w:after="0" w:line="240" w:lineRule="auto"/>
              <w:rPr>
                <w:rFonts w:asciiTheme="minorHAnsi" w:eastAsia="Times New Roman" w:hAnsiTheme="minorHAnsi" w:cstheme="minorHAnsi"/>
                <w:color w:val="000000"/>
                <w:sz w:val="20"/>
                <w:szCs w:val="20"/>
                <w:lang w:eastAsia="en-US"/>
              </w:rPr>
            </w:pPr>
            <w:r w:rsidRPr="008E44F3">
              <w:rPr>
                <w:rFonts w:asciiTheme="minorHAnsi" w:hAnsiTheme="minorHAnsi" w:cstheme="minorHAnsi"/>
                <w:color w:val="000000"/>
                <w:sz w:val="20"/>
                <w:szCs w:val="20"/>
              </w:rPr>
              <w:t>Hernia, inguinal, NOS, unilateral</w:t>
            </w:r>
          </w:p>
        </w:tc>
        <w:tc>
          <w:tcPr>
            <w:tcW w:w="1440" w:type="dxa"/>
            <w:shd w:val="clear" w:color="000000" w:fill="DBE4ED"/>
            <w:noWrap/>
            <w:vAlign w:val="center"/>
          </w:tcPr>
          <w:p w14:paraId="47400B04" w14:textId="77777777" w:rsidR="008E44F3" w:rsidRPr="008E44F3" w:rsidRDefault="008E44F3" w:rsidP="00D03A56">
            <w:pPr>
              <w:spacing w:after="0" w:line="240" w:lineRule="auto"/>
              <w:jc w:val="center"/>
              <w:rPr>
                <w:rFonts w:asciiTheme="minorHAnsi" w:hAnsiTheme="minorHAnsi" w:cstheme="minorHAnsi"/>
                <w:color w:val="000000"/>
                <w:sz w:val="20"/>
                <w:szCs w:val="20"/>
              </w:rPr>
            </w:pPr>
            <w:r w:rsidRPr="008E44F3">
              <w:rPr>
                <w:rFonts w:asciiTheme="minorHAnsi" w:hAnsiTheme="minorHAnsi" w:cstheme="minorHAnsi"/>
                <w:color w:val="000000"/>
                <w:sz w:val="20"/>
                <w:szCs w:val="20"/>
              </w:rPr>
              <w:t>9</w:t>
            </w:r>
          </w:p>
        </w:tc>
        <w:tc>
          <w:tcPr>
            <w:tcW w:w="1710" w:type="dxa"/>
            <w:shd w:val="clear" w:color="000000" w:fill="DBE4ED"/>
            <w:noWrap/>
            <w:vAlign w:val="center"/>
          </w:tcPr>
          <w:p w14:paraId="7EF3640D" w14:textId="77777777" w:rsidR="008E44F3" w:rsidRPr="008E44F3" w:rsidRDefault="008E44F3" w:rsidP="00D03A56">
            <w:pPr>
              <w:spacing w:after="0" w:line="240" w:lineRule="auto"/>
              <w:jc w:val="center"/>
              <w:rPr>
                <w:rFonts w:asciiTheme="minorHAnsi" w:hAnsiTheme="minorHAnsi" w:cstheme="minorHAnsi"/>
                <w:color w:val="000000"/>
                <w:sz w:val="20"/>
                <w:szCs w:val="20"/>
              </w:rPr>
            </w:pPr>
            <w:r w:rsidRPr="008E44F3">
              <w:rPr>
                <w:rFonts w:asciiTheme="minorHAnsi" w:hAnsiTheme="minorHAnsi" w:cstheme="minorHAnsi"/>
                <w:color w:val="000000"/>
                <w:sz w:val="20"/>
                <w:szCs w:val="20"/>
              </w:rPr>
              <w:t>22,615</w:t>
            </w:r>
          </w:p>
        </w:tc>
        <w:tc>
          <w:tcPr>
            <w:tcW w:w="1507" w:type="dxa"/>
            <w:shd w:val="clear" w:color="000000" w:fill="DBE4ED"/>
            <w:noWrap/>
            <w:vAlign w:val="center"/>
          </w:tcPr>
          <w:p w14:paraId="5A52517D" w14:textId="77777777" w:rsidR="008E44F3" w:rsidRPr="008E44F3" w:rsidRDefault="008E44F3" w:rsidP="00D03A56">
            <w:pPr>
              <w:spacing w:after="0" w:line="240" w:lineRule="auto"/>
              <w:jc w:val="center"/>
              <w:rPr>
                <w:rFonts w:asciiTheme="minorHAnsi" w:hAnsiTheme="minorHAnsi" w:cstheme="minorHAnsi"/>
                <w:color w:val="000000"/>
                <w:sz w:val="20"/>
                <w:szCs w:val="20"/>
              </w:rPr>
            </w:pPr>
            <w:r w:rsidRPr="008E44F3">
              <w:rPr>
                <w:rFonts w:asciiTheme="minorHAnsi" w:hAnsiTheme="minorHAnsi" w:cstheme="minorHAnsi"/>
                <w:color w:val="000000"/>
                <w:sz w:val="20"/>
                <w:szCs w:val="20"/>
              </w:rPr>
              <w:t>6,738</w:t>
            </w:r>
          </w:p>
        </w:tc>
        <w:tc>
          <w:tcPr>
            <w:tcW w:w="1553" w:type="dxa"/>
            <w:shd w:val="clear" w:color="000000" w:fill="DBE4ED"/>
            <w:noWrap/>
            <w:vAlign w:val="center"/>
          </w:tcPr>
          <w:p w14:paraId="230D1189" w14:textId="77777777" w:rsidR="008E44F3" w:rsidRPr="008E44F3" w:rsidRDefault="008E44F3" w:rsidP="00D03A56">
            <w:pPr>
              <w:spacing w:after="0" w:line="240" w:lineRule="auto"/>
              <w:jc w:val="center"/>
              <w:rPr>
                <w:rFonts w:asciiTheme="minorHAnsi" w:hAnsiTheme="minorHAnsi" w:cstheme="minorHAnsi"/>
                <w:color w:val="000000"/>
                <w:sz w:val="20"/>
                <w:szCs w:val="20"/>
              </w:rPr>
            </w:pPr>
            <w:r w:rsidRPr="008E44F3">
              <w:rPr>
                <w:rFonts w:asciiTheme="minorHAnsi" w:hAnsiTheme="minorHAnsi" w:cstheme="minorHAnsi"/>
                <w:color w:val="000000"/>
                <w:sz w:val="20"/>
                <w:szCs w:val="20"/>
              </w:rPr>
              <w:t>40,000</w:t>
            </w:r>
          </w:p>
        </w:tc>
      </w:tr>
      <w:tr w:rsidR="008E44F3" w:rsidRPr="008E44F3" w14:paraId="6E30E8F7" w14:textId="77777777" w:rsidTr="00D03A56">
        <w:trPr>
          <w:trHeight w:val="288"/>
        </w:trPr>
        <w:tc>
          <w:tcPr>
            <w:tcW w:w="3240" w:type="dxa"/>
            <w:shd w:val="clear" w:color="000000" w:fill="DBE4ED"/>
            <w:noWrap/>
            <w:vAlign w:val="bottom"/>
          </w:tcPr>
          <w:p w14:paraId="4390F2D2" w14:textId="77777777" w:rsidR="008E44F3" w:rsidRPr="008E44F3" w:rsidRDefault="008E44F3" w:rsidP="00D03A56">
            <w:pPr>
              <w:spacing w:after="0" w:line="240" w:lineRule="auto"/>
              <w:rPr>
                <w:rFonts w:asciiTheme="minorHAnsi" w:eastAsia="Times New Roman" w:hAnsiTheme="minorHAnsi" w:cstheme="minorHAnsi"/>
                <w:color w:val="000000"/>
                <w:sz w:val="20"/>
                <w:szCs w:val="20"/>
                <w:lang w:eastAsia="en-US"/>
              </w:rPr>
            </w:pPr>
            <w:r w:rsidRPr="008E44F3">
              <w:rPr>
                <w:rFonts w:asciiTheme="minorHAnsi" w:hAnsiTheme="minorHAnsi" w:cstheme="minorHAnsi"/>
                <w:color w:val="000000"/>
                <w:sz w:val="20"/>
                <w:szCs w:val="20"/>
              </w:rPr>
              <w:t>Other trauma, unspecific</w:t>
            </w:r>
          </w:p>
        </w:tc>
        <w:tc>
          <w:tcPr>
            <w:tcW w:w="1440" w:type="dxa"/>
            <w:shd w:val="clear" w:color="000000" w:fill="DBE4ED"/>
            <w:noWrap/>
            <w:vAlign w:val="center"/>
          </w:tcPr>
          <w:p w14:paraId="2AC03037" w14:textId="77777777" w:rsidR="008E44F3" w:rsidRPr="008E44F3" w:rsidRDefault="008E44F3" w:rsidP="00D03A56">
            <w:pPr>
              <w:spacing w:after="0" w:line="240" w:lineRule="auto"/>
              <w:jc w:val="center"/>
              <w:rPr>
                <w:rFonts w:asciiTheme="minorHAnsi" w:hAnsiTheme="minorHAnsi" w:cstheme="minorHAnsi"/>
                <w:color w:val="000000"/>
                <w:sz w:val="20"/>
                <w:szCs w:val="20"/>
              </w:rPr>
            </w:pPr>
            <w:r w:rsidRPr="008E44F3">
              <w:rPr>
                <w:rFonts w:asciiTheme="minorHAnsi" w:hAnsiTheme="minorHAnsi" w:cstheme="minorHAnsi"/>
                <w:color w:val="000000"/>
                <w:sz w:val="20"/>
                <w:szCs w:val="20"/>
              </w:rPr>
              <w:t>9</w:t>
            </w:r>
          </w:p>
        </w:tc>
        <w:tc>
          <w:tcPr>
            <w:tcW w:w="1710" w:type="dxa"/>
            <w:shd w:val="clear" w:color="000000" w:fill="DBE4ED"/>
            <w:noWrap/>
            <w:vAlign w:val="center"/>
          </w:tcPr>
          <w:p w14:paraId="2A068439" w14:textId="77777777" w:rsidR="008E44F3" w:rsidRPr="008E44F3" w:rsidRDefault="008E44F3" w:rsidP="00D03A56">
            <w:pPr>
              <w:spacing w:after="0" w:line="240" w:lineRule="auto"/>
              <w:jc w:val="center"/>
              <w:rPr>
                <w:rFonts w:asciiTheme="minorHAnsi" w:hAnsiTheme="minorHAnsi" w:cstheme="minorHAnsi"/>
                <w:color w:val="000000"/>
                <w:sz w:val="20"/>
                <w:szCs w:val="20"/>
              </w:rPr>
            </w:pPr>
            <w:r w:rsidRPr="008E44F3">
              <w:rPr>
                <w:rFonts w:asciiTheme="minorHAnsi" w:hAnsiTheme="minorHAnsi" w:cstheme="minorHAnsi"/>
                <w:color w:val="000000"/>
                <w:sz w:val="20"/>
                <w:szCs w:val="20"/>
              </w:rPr>
              <w:t>14,385</w:t>
            </w:r>
          </w:p>
        </w:tc>
        <w:tc>
          <w:tcPr>
            <w:tcW w:w="1507" w:type="dxa"/>
            <w:shd w:val="clear" w:color="000000" w:fill="DBE4ED"/>
            <w:noWrap/>
            <w:vAlign w:val="center"/>
          </w:tcPr>
          <w:p w14:paraId="570B5B2B" w14:textId="77777777" w:rsidR="008E44F3" w:rsidRPr="008E44F3" w:rsidRDefault="008E44F3" w:rsidP="00D03A56">
            <w:pPr>
              <w:spacing w:after="0" w:line="240" w:lineRule="auto"/>
              <w:jc w:val="center"/>
              <w:rPr>
                <w:rFonts w:asciiTheme="minorHAnsi" w:hAnsiTheme="minorHAnsi" w:cstheme="minorHAnsi"/>
                <w:color w:val="000000"/>
                <w:sz w:val="20"/>
                <w:szCs w:val="20"/>
              </w:rPr>
            </w:pPr>
            <w:r w:rsidRPr="008E44F3">
              <w:rPr>
                <w:rFonts w:asciiTheme="minorHAnsi" w:hAnsiTheme="minorHAnsi" w:cstheme="minorHAnsi"/>
                <w:color w:val="000000"/>
                <w:sz w:val="20"/>
                <w:szCs w:val="20"/>
              </w:rPr>
              <w:t>4,382</w:t>
            </w:r>
          </w:p>
        </w:tc>
        <w:tc>
          <w:tcPr>
            <w:tcW w:w="1553" w:type="dxa"/>
            <w:shd w:val="clear" w:color="000000" w:fill="DBE4ED"/>
            <w:noWrap/>
            <w:vAlign w:val="center"/>
          </w:tcPr>
          <w:p w14:paraId="69B56001" w14:textId="77777777" w:rsidR="008E44F3" w:rsidRPr="008E44F3" w:rsidRDefault="008E44F3" w:rsidP="00D03A56">
            <w:pPr>
              <w:spacing w:after="0" w:line="240" w:lineRule="auto"/>
              <w:jc w:val="center"/>
              <w:rPr>
                <w:rFonts w:asciiTheme="minorHAnsi" w:hAnsiTheme="minorHAnsi" w:cstheme="minorHAnsi"/>
                <w:color w:val="000000"/>
                <w:sz w:val="20"/>
                <w:szCs w:val="20"/>
              </w:rPr>
            </w:pPr>
            <w:r w:rsidRPr="008E44F3">
              <w:rPr>
                <w:rFonts w:asciiTheme="minorHAnsi" w:hAnsiTheme="minorHAnsi" w:cstheme="minorHAnsi"/>
                <w:color w:val="000000"/>
                <w:sz w:val="20"/>
                <w:szCs w:val="20"/>
              </w:rPr>
              <w:t>31,441</w:t>
            </w:r>
          </w:p>
        </w:tc>
      </w:tr>
      <w:tr w:rsidR="008E44F3" w:rsidRPr="008E44F3" w14:paraId="56E3D6C3" w14:textId="77777777" w:rsidTr="00D03A56">
        <w:trPr>
          <w:trHeight w:val="288"/>
        </w:trPr>
        <w:tc>
          <w:tcPr>
            <w:tcW w:w="3240" w:type="dxa"/>
            <w:shd w:val="clear" w:color="000000" w:fill="DBE4ED"/>
            <w:noWrap/>
            <w:vAlign w:val="bottom"/>
          </w:tcPr>
          <w:p w14:paraId="65664D6E" w14:textId="77777777" w:rsidR="008E44F3" w:rsidRPr="008E44F3" w:rsidRDefault="008E44F3" w:rsidP="00D03A56">
            <w:pPr>
              <w:spacing w:after="0" w:line="240" w:lineRule="auto"/>
              <w:rPr>
                <w:rFonts w:asciiTheme="minorHAnsi" w:eastAsia="Times New Roman" w:hAnsiTheme="minorHAnsi" w:cstheme="minorHAnsi"/>
                <w:color w:val="000000"/>
                <w:sz w:val="20"/>
                <w:szCs w:val="20"/>
                <w:lang w:eastAsia="en-US"/>
              </w:rPr>
            </w:pPr>
            <w:r w:rsidRPr="008E44F3">
              <w:rPr>
                <w:rFonts w:asciiTheme="minorHAnsi" w:hAnsiTheme="minorHAnsi" w:cstheme="minorHAnsi"/>
                <w:color w:val="000000"/>
                <w:sz w:val="20"/>
                <w:szCs w:val="20"/>
              </w:rPr>
              <w:t>Cholecystitis, acute</w:t>
            </w:r>
          </w:p>
        </w:tc>
        <w:tc>
          <w:tcPr>
            <w:tcW w:w="1440" w:type="dxa"/>
            <w:shd w:val="clear" w:color="000000" w:fill="DBE4ED"/>
            <w:noWrap/>
            <w:vAlign w:val="center"/>
          </w:tcPr>
          <w:p w14:paraId="20B55EFD" w14:textId="77777777" w:rsidR="008E44F3" w:rsidRPr="008E44F3" w:rsidRDefault="008E44F3" w:rsidP="00D03A56">
            <w:pPr>
              <w:spacing w:after="0" w:line="240" w:lineRule="auto"/>
              <w:jc w:val="center"/>
              <w:rPr>
                <w:rFonts w:asciiTheme="minorHAnsi" w:hAnsiTheme="minorHAnsi" w:cstheme="minorHAnsi"/>
                <w:color w:val="000000"/>
                <w:sz w:val="20"/>
                <w:szCs w:val="20"/>
              </w:rPr>
            </w:pPr>
            <w:r w:rsidRPr="008E44F3">
              <w:rPr>
                <w:rFonts w:asciiTheme="minorHAnsi" w:hAnsiTheme="minorHAnsi" w:cstheme="minorHAnsi"/>
                <w:color w:val="000000"/>
                <w:sz w:val="20"/>
                <w:szCs w:val="20"/>
              </w:rPr>
              <w:t>8</w:t>
            </w:r>
          </w:p>
        </w:tc>
        <w:tc>
          <w:tcPr>
            <w:tcW w:w="1710" w:type="dxa"/>
            <w:shd w:val="clear" w:color="000000" w:fill="DBE4ED"/>
            <w:noWrap/>
            <w:vAlign w:val="center"/>
          </w:tcPr>
          <w:p w14:paraId="6909C435" w14:textId="77777777" w:rsidR="008E44F3" w:rsidRPr="008E44F3" w:rsidRDefault="008E44F3" w:rsidP="00D03A56">
            <w:pPr>
              <w:spacing w:after="0" w:line="240" w:lineRule="auto"/>
              <w:jc w:val="center"/>
              <w:rPr>
                <w:rFonts w:asciiTheme="minorHAnsi" w:hAnsiTheme="minorHAnsi" w:cstheme="minorHAnsi"/>
                <w:color w:val="000000"/>
                <w:sz w:val="20"/>
                <w:szCs w:val="20"/>
              </w:rPr>
            </w:pPr>
            <w:r w:rsidRPr="008E44F3">
              <w:rPr>
                <w:rFonts w:asciiTheme="minorHAnsi" w:hAnsiTheme="minorHAnsi" w:cstheme="minorHAnsi"/>
                <w:color w:val="000000"/>
                <w:sz w:val="20"/>
                <w:szCs w:val="20"/>
              </w:rPr>
              <w:t>16,863</w:t>
            </w:r>
          </w:p>
        </w:tc>
        <w:tc>
          <w:tcPr>
            <w:tcW w:w="1507" w:type="dxa"/>
            <w:shd w:val="clear" w:color="000000" w:fill="DBE4ED"/>
            <w:noWrap/>
            <w:vAlign w:val="center"/>
          </w:tcPr>
          <w:p w14:paraId="36B91D37" w14:textId="77777777" w:rsidR="008E44F3" w:rsidRPr="008E44F3" w:rsidRDefault="008E44F3" w:rsidP="00D03A56">
            <w:pPr>
              <w:spacing w:after="0" w:line="240" w:lineRule="auto"/>
              <w:jc w:val="center"/>
              <w:rPr>
                <w:rFonts w:asciiTheme="minorHAnsi" w:hAnsiTheme="minorHAnsi" w:cstheme="minorHAnsi"/>
                <w:color w:val="000000"/>
                <w:sz w:val="20"/>
                <w:szCs w:val="20"/>
              </w:rPr>
            </w:pPr>
            <w:r w:rsidRPr="008E44F3">
              <w:rPr>
                <w:rFonts w:asciiTheme="minorHAnsi" w:hAnsiTheme="minorHAnsi" w:cstheme="minorHAnsi"/>
                <w:color w:val="000000"/>
                <w:sz w:val="20"/>
                <w:szCs w:val="20"/>
              </w:rPr>
              <w:t>4,435</w:t>
            </w:r>
          </w:p>
        </w:tc>
        <w:tc>
          <w:tcPr>
            <w:tcW w:w="1553" w:type="dxa"/>
            <w:shd w:val="clear" w:color="000000" w:fill="DBE4ED"/>
            <w:noWrap/>
            <w:vAlign w:val="center"/>
          </w:tcPr>
          <w:p w14:paraId="76A29966" w14:textId="77777777" w:rsidR="008E44F3" w:rsidRPr="008E44F3" w:rsidRDefault="008E44F3" w:rsidP="00D03A56">
            <w:pPr>
              <w:spacing w:after="0" w:line="240" w:lineRule="auto"/>
              <w:jc w:val="center"/>
              <w:rPr>
                <w:rFonts w:asciiTheme="minorHAnsi" w:hAnsiTheme="minorHAnsi" w:cstheme="minorHAnsi"/>
                <w:color w:val="000000"/>
                <w:sz w:val="20"/>
                <w:szCs w:val="20"/>
              </w:rPr>
            </w:pPr>
            <w:r w:rsidRPr="008E44F3">
              <w:rPr>
                <w:rFonts w:asciiTheme="minorHAnsi" w:hAnsiTheme="minorHAnsi" w:cstheme="minorHAnsi"/>
                <w:color w:val="000000"/>
                <w:sz w:val="20"/>
                <w:szCs w:val="20"/>
              </w:rPr>
              <w:t>31,600</w:t>
            </w:r>
          </w:p>
        </w:tc>
      </w:tr>
      <w:tr w:rsidR="008E44F3" w:rsidRPr="008E44F3" w14:paraId="17DCF04D" w14:textId="77777777" w:rsidTr="00D03A56">
        <w:trPr>
          <w:trHeight w:val="288"/>
        </w:trPr>
        <w:tc>
          <w:tcPr>
            <w:tcW w:w="3240" w:type="dxa"/>
            <w:shd w:val="clear" w:color="000000" w:fill="DBE4ED"/>
            <w:noWrap/>
            <w:vAlign w:val="center"/>
          </w:tcPr>
          <w:p w14:paraId="7DB2E8A7" w14:textId="77777777" w:rsidR="008E44F3" w:rsidRPr="008E44F3" w:rsidRDefault="008E44F3" w:rsidP="00D03A56">
            <w:pPr>
              <w:spacing w:after="0" w:line="240" w:lineRule="auto"/>
              <w:rPr>
                <w:rFonts w:asciiTheme="minorHAnsi" w:eastAsia="Times New Roman" w:hAnsiTheme="minorHAnsi" w:cstheme="minorHAnsi"/>
                <w:color w:val="000000"/>
                <w:sz w:val="20"/>
                <w:szCs w:val="20"/>
                <w:lang w:eastAsia="en-US"/>
              </w:rPr>
            </w:pPr>
            <w:r w:rsidRPr="008E44F3">
              <w:rPr>
                <w:rFonts w:asciiTheme="minorHAnsi" w:eastAsia="Times New Roman" w:hAnsiTheme="minorHAnsi" w:cstheme="minorHAnsi"/>
                <w:color w:val="000000"/>
                <w:sz w:val="20"/>
                <w:szCs w:val="20"/>
                <w:lang w:eastAsia="en-US"/>
              </w:rPr>
              <w:t>All others surgical diagnoses</w:t>
            </w:r>
          </w:p>
        </w:tc>
        <w:tc>
          <w:tcPr>
            <w:tcW w:w="1440" w:type="dxa"/>
            <w:shd w:val="clear" w:color="000000" w:fill="DBE4ED"/>
            <w:noWrap/>
            <w:vAlign w:val="center"/>
          </w:tcPr>
          <w:p w14:paraId="53944B7F" w14:textId="77777777" w:rsidR="008E44F3" w:rsidRPr="008E44F3" w:rsidRDefault="008E44F3" w:rsidP="00D03A56">
            <w:pPr>
              <w:spacing w:after="0" w:line="240" w:lineRule="auto"/>
              <w:jc w:val="center"/>
              <w:rPr>
                <w:rFonts w:asciiTheme="minorHAnsi" w:eastAsia="Times New Roman" w:hAnsiTheme="minorHAnsi" w:cstheme="minorHAnsi"/>
                <w:color w:val="000000"/>
                <w:sz w:val="20"/>
                <w:szCs w:val="20"/>
                <w:lang w:eastAsia="en-US"/>
              </w:rPr>
            </w:pPr>
            <w:r w:rsidRPr="008E44F3">
              <w:rPr>
                <w:rFonts w:asciiTheme="minorHAnsi" w:eastAsia="Times New Roman" w:hAnsiTheme="minorHAnsi" w:cstheme="minorHAnsi"/>
                <w:color w:val="000000"/>
                <w:sz w:val="20"/>
                <w:szCs w:val="20"/>
                <w:lang w:eastAsia="en-US"/>
              </w:rPr>
              <w:t>64</w:t>
            </w:r>
          </w:p>
        </w:tc>
        <w:tc>
          <w:tcPr>
            <w:tcW w:w="1710" w:type="dxa"/>
            <w:shd w:val="clear" w:color="000000" w:fill="DBE4ED"/>
            <w:noWrap/>
            <w:vAlign w:val="center"/>
          </w:tcPr>
          <w:p w14:paraId="7B2138A6" w14:textId="77777777" w:rsidR="008E44F3" w:rsidRPr="008E44F3" w:rsidRDefault="008E44F3" w:rsidP="00D03A56">
            <w:pPr>
              <w:spacing w:after="0" w:line="240" w:lineRule="auto"/>
              <w:jc w:val="center"/>
              <w:rPr>
                <w:rFonts w:asciiTheme="minorHAnsi" w:hAnsiTheme="minorHAnsi" w:cstheme="minorHAnsi"/>
                <w:color w:val="000000"/>
                <w:sz w:val="20"/>
                <w:szCs w:val="20"/>
                <w:lang w:val="en-US" w:eastAsia="en-US"/>
              </w:rPr>
            </w:pPr>
            <w:r w:rsidRPr="008E44F3">
              <w:rPr>
                <w:rFonts w:asciiTheme="minorHAnsi" w:hAnsiTheme="minorHAnsi" w:cstheme="minorHAnsi"/>
                <w:color w:val="000000"/>
                <w:sz w:val="20"/>
                <w:szCs w:val="20"/>
                <w:lang w:val="en-US" w:eastAsia="en-US"/>
              </w:rPr>
              <w:t>17,972</w:t>
            </w:r>
          </w:p>
        </w:tc>
        <w:tc>
          <w:tcPr>
            <w:tcW w:w="1507" w:type="dxa"/>
            <w:shd w:val="clear" w:color="000000" w:fill="DBE4ED"/>
            <w:noWrap/>
            <w:vAlign w:val="center"/>
          </w:tcPr>
          <w:p w14:paraId="44873FA0" w14:textId="77777777" w:rsidR="008E44F3" w:rsidRPr="008E44F3" w:rsidRDefault="008E44F3" w:rsidP="00D03A56">
            <w:pPr>
              <w:spacing w:after="0" w:line="240" w:lineRule="auto"/>
              <w:jc w:val="center"/>
              <w:rPr>
                <w:rFonts w:asciiTheme="minorHAnsi" w:hAnsiTheme="minorHAnsi" w:cstheme="minorHAnsi"/>
                <w:color w:val="000000"/>
                <w:sz w:val="20"/>
                <w:szCs w:val="20"/>
              </w:rPr>
            </w:pPr>
            <w:r w:rsidRPr="008E44F3">
              <w:rPr>
                <w:rFonts w:asciiTheme="minorHAnsi" w:hAnsiTheme="minorHAnsi" w:cstheme="minorHAnsi"/>
                <w:color w:val="000000"/>
                <w:sz w:val="20"/>
                <w:szCs w:val="20"/>
              </w:rPr>
              <w:t>1,577</w:t>
            </w:r>
          </w:p>
        </w:tc>
        <w:tc>
          <w:tcPr>
            <w:tcW w:w="1553" w:type="dxa"/>
            <w:shd w:val="clear" w:color="000000" w:fill="DBE4ED"/>
            <w:noWrap/>
            <w:vAlign w:val="center"/>
          </w:tcPr>
          <w:p w14:paraId="13A0B8C4" w14:textId="77777777" w:rsidR="008E44F3" w:rsidRPr="008E44F3" w:rsidRDefault="008E44F3" w:rsidP="00D03A56">
            <w:pPr>
              <w:spacing w:after="0" w:line="240" w:lineRule="auto"/>
              <w:jc w:val="center"/>
              <w:rPr>
                <w:rFonts w:asciiTheme="minorHAnsi" w:hAnsiTheme="minorHAnsi" w:cstheme="minorHAnsi"/>
                <w:color w:val="000000"/>
                <w:sz w:val="20"/>
                <w:szCs w:val="20"/>
              </w:rPr>
            </w:pPr>
            <w:r w:rsidRPr="008E44F3">
              <w:rPr>
                <w:rFonts w:asciiTheme="minorHAnsi" w:hAnsiTheme="minorHAnsi" w:cstheme="minorHAnsi"/>
                <w:color w:val="000000"/>
                <w:sz w:val="20"/>
                <w:szCs w:val="20"/>
              </w:rPr>
              <w:t>40,000</w:t>
            </w:r>
          </w:p>
        </w:tc>
      </w:tr>
      <w:tr w:rsidR="008E44F3" w:rsidRPr="008E44F3" w14:paraId="10D6E8A9" w14:textId="77777777" w:rsidTr="00D03A56">
        <w:trPr>
          <w:trHeight w:val="288"/>
        </w:trPr>
        <w:tc>
          <w:tcPr>
            <w:tcW w:w="3240" w:type="dxa"/>
            <w:shd w:val="clear" w:color="000000" w:fill="DBE4ED"/>
            <w:noWrap/>
            <w:vAlign w:val="center"/>
          </w:tcPr>
          <w:p w14:paraId="11FB7D30" w14:textId="77777777" w:rsidR="008E44F3" w:rsidRPr="008E44F3" w:rsidRDefault="008E44F3" w:rsidP="00D03A56">
            <w:pPr>
              <w:spacing w:after="0" w:line="240" w:lineRule="auto"/>
              <w:rPr>
                <w:rFonts w:asciiTheme="minorHAnsi" w:eastAsia="Times New Roman" w:hAnsiTheme="minorHAnsi" w:cstheme="minorHAnsi"/>
                <w:b/>
                <w:bCs/>
                <w:color w:val="000000"/>
                <w:sz w:val="20"/>
                <w:szCs w:val="20"/>
                <w:lang w:eastAsia="en-US"/>
              </w:rPr>
            </w:pPr>
            <w:r w:rsidRPr="008E44F3">
              <w:rPr>
                <w:rFonts w:asciiTheme="minorHAnsi" w:eastAsia="Times New Roman" w:hAnsiTheme="minorHAnsi" w:cstheme="minorHAnsi"/>
                <w:b/>
                <w:bCs/>
                <w:color w:val="000000"/>
                <w:sz w:val="20"/>
                <w:szCs w:val="20"/>
                <w:lang w:eastAsia="en-US"/>
              </w:rPr>
              <w:t>Over all</w:t>
            </w:r>
          </w:p>
        </w:tc>
        <w:tc>
          <w:tcPr>
            <w:tcW w:w="1440" w:type="dxa"/>
            <w:shd w:val="clear" w:color="000000" w:fill="DBE4ED"/>
            <w:noWrap/>
            <w:vAlign w:val="center"/>
          </w:tcPr>
          <w:p w14:paraId="77FE4B4A" w14:textId="77777777" w:rsidR="008E44F3" w:rsidRPr="008E44F3" w:rsidRDefault="008E44F3" w:rsidP="00D03A56">
            <w:pPr>
              <w:spacing w:after="0" w:line="240" w:lineRule="auto"/>
              <w:jc w:val="center"/>
              <w:rPr>
                <w:rFonts w:asciiTheme="minorHAnsi" w:hAnsiTheme="minorHAnsi" w:cstheme="minorHAnsi"/>
                <w:b/>
                <w:bCs/>
                <w:color w:val="000000"/>
                <w:sz w:val="20"/>
                <w:szCs w:val="20"/>
              </w:rPr>
            </w:pPr>
            <w:r w:rsidRPr="008E44F3">
              <w:rPr>
                <w:rFonts w:asciiTheme="minorHAnsi" w:hAnsiTheme="minorHAnsi" w:cstheme="minorHAnsi"/>
                <w:b/>
                <w:bCs/>
                <w:color w:val="000000"/>
                <w:sz w:val="20"/>
                <w:szCs w:val="20"/>
              </w:rPr>
              <w:t>272</w:t>
            </w:r>
          </w:p>
        </w:tc>
        <w:tc>
          <w:tcPr>
            <w:tcW w:w="1710" w:type="dxa"/>
            <w:shd w:val="clear" w:color="000000" w:fill="DBE4ED"/>
            <w:noWrap/>
            <w:vAlign w:val="center"/>
          </w:tcPr>
          <w:p w14:paraId="719B4034" w14:textId="77777777" w:rsidR="008E44F3" w:rsidRPr="008E44F3" w:rsidRDefault="008E44F3" w:rsidP="00D03A56">
            <w:pPr>
              <w:spacing w:after="0" w:line="240" w:lineRule="auto"/>
              <w:jc w:val="center"/>
              <w:rPr>
                <w:rFonts w:asciiTheme="minorHAnsi" w:hAnsiTheme="minorHAnsi" w:cstheme="minorHAnsi"/>
                <w:b/>
                <w:bCs/>
                <w:color w:val="000000"/>
                <w:sz w:val="20"/>
                <w:szCs w:val="20"/>
              </w:rPr>
            </w:pPr>
            <w:r w:rsidRPr="008E44F3">
              <w:rPr>
                <w:rFonts w:asciiTheme="minorHAnsi" w:hAnsiTheme="minorHAnsi" w:cstheme="minorHAnsi"/>
                <w:b/>
                <w:bCs/>
                <w:color w:val="000000"/>
                <w:sz w:val="20"/>
                <w:szCs w:val="20"/>
              </w:rPr>
              <w:t>15,353</w:t>
            </w:r>
          </w:p>
        </w:tc>
        <w:tc>
          <w:tcPr>
            <w:tcW w:w="1507" w:type="dxa"/>
            <w:shd w:val="clear" w:color="000000" w:fill="DBE4ED"/>
            <w:noWrap/>
            <w:vAlign w:val="center"/>
          </w:tcPr>
          <w:p w14:paraId="6BFB0180" w14:textId="77777777" w:rsidR="008E44F3" w:rsidRPr="008E44F3" w:rsidRDefault="008E44F3" w:rsidP="00D03A56">
            <w:pPr>
              <w:spacing w:after="0" w:line="240" w:lineRule="auto"/>
              <w:jc w:val="center"/>
              <w:rPr>
                <w:rFonts w:asciiTheme="minorHAnsi" w:hAnsiTheme="minorHAnsi" w:cstheme="minorHAnsi"/>
                <w:b/>
                <w:bCs/>
                <w:color w:val="000000"/>
                <w:sz w:val="20"/>
                <w:szCs w:val="20"/>
              </w:rPr>
            </w:pPr>
            <w:r w:rsidRPr="008E44F3">
              <w:rPr>
                <w:rFonts w:asciiTheme="minorHAnsi" w:hAnsiTheme="minorHAnsi" w:cstheme="minorHAnsi"/>
                <w:b/>
                <w:bCs/>
                <w:color w:val="000000"/>
                <w:sz w:val="20"/>
                <w:szCs w:val="20"/>
              </w:rPr>
              <w:t>827</w:t>
            </w:r>
          </w:p>
        </w:tc>
        <w:tc>
          <w:tcPr>
            <w:tcW w:w="1553" w:type="dxa"/>
            <w:shd w:val="clear" w:color="000000" w:fill="DBE4ED"/>
            <w:noWrap/>
            <w:vAlign w:val="center"/>
          </w:tcPr>
          <w:p w14:paraId="17757A06" w14:textId="77777777" w:rsidR="008E44F3" w:rsidRPr="008E44F3" w:rsidRDefault="008E44F3" w:rsidP="00D03A56">
            <w:pPr>
              <w:spacing w:after="0" w:line="240" w:lineRule="auto"/>
              <w:jc w:val="center"/>
              <w:rPr>
                <w:rFonts w:asciiTheme="minorHAnsi" w:hAnsiTheme="minorHAnsi" w:cstheme="minorHAnsi"/>
                <w:b/>
                <w:bCs/>
                <w:color w:val="000000"/>
                <w:sz w:val="20"/>
                <w:szCs w:val="20"/>
              </w:rPr>
            </w:pPr>
            <w:r w:rsidRPr="008E44F3">
              <w:rPr>
                <w:rFonts w:asciiTheme="minorHAnsi" w:hAnsiTheme="minorHAnsi" w:cstheme="minorHAnsi"/>
                <w:b/>
                <w:bCs/>
                <w:color w:val="000000"/>
                <w:sz w:val="20"/>
                <w:szCs w:val="20"/>
              </w:rPr>
              <w:t>40,000</w:t>
            </w:r>
          </w:p>
        </w:tc>
      </w:tr>
    </w:tbl>
    <w:p w14:paraId="30372023" w14:textId="43AA8406" w:rsidR="005522DF" w:rsidRDefault="005522DF" w:rsidP="005F5304">
      <w:pPr>
        <w:pStyle w:val="BodyText"/>
      </w:pPr>
    </w:p>
    <w:p w14:paraId="7F97AF72" w14:textId="77777777" w:rsidR="008E44F3" w:rsidRPr="003506E5" w:rsidRDefault="008E44F3" w:rsidP="005F5304">
      <w:pPr>
        <w:pStyle w:val="BodyText"/>
      </w:pPr>
    </w:p>
    <w:p w14:paraId="03D57208" w14:textId="26012CC3" w:rsidR="005F5304" w:rsidRPr="003506E5" w:rsidRDefault="005F5304" w:rsidP="005F5304">
      <w:pPr>
        <w:pStyle w:val="BodyText"/>
      </w:pPr>
      <w:r w:rsidRPr="003506E5">
        <w:lastRenderedPageBreak/>
        <w:t xml:space="preserve">The above tables show that there is no marked difference between average claim for non-surgical (PKR 13,655) and surgical admissions (14,207). There are also cases when the admitted patients exhausted the capped amount (PKR 25,000 for eligible population and PKR 40,000 for wider enrolment).  </w:t>
      </w:r>
    </w:p>
    <w:p w14:paraId="2E844A50" w14:textId="2FF9D13A" w:rsidR="005F5304" w:rsidRPr="003506E5" w:rsidRDefault="00AE4FA0" w:rsidP="00AE4FA0">
      <w:r>
        <w:t xml:space="preserve">The following table presents the total, average with minimum and maximum </w:t>
      </w:r>
      <w:r>
        <w:t>claimed amounts</w:t>
      </w:r>
      <w:r>
        <w:t xml:space="preserve"> by each hospital in Gilgit district.  </w:t>
      </w:r>
    </w:p>
    <w:p w14:paraId="26BF0EF8" w14:textId="488B8A58" w:rsidR="00AE4FA0" w:rsidRDefault="00AE4FA0" w:rsidP="00AE4FA0">
      <w:pPr>
        <w:pStyle w:val="Caption"/>
      </w:pPr>
      <w:r>
        <w:t xml:space="preserve">Table </w:t>
      </w:r>
      <w:r>
        <w:fldChar w:fldCharType="begin"/>
      </w:r>
      <w:r>
        <w:instrText xml:space="preserve"> SEQ Table \* ARABIC </w:instrText>
      </w:r>
      <w:r>
        <w:fldChar w:fldCharType="separate"/>
      </w:r>
      <w:r>
        <w:rPr>
          <w:noProof/>
        </w:rPr>
        <w:t>22</w:t>
      </w:r>
      <w:r>
        <w:fldChar w:fldCharType="end"/>
      </w:r>
      <w:r>
        <w:rPr>
          <w:lang w:val="en-US"/>
        </w:rPr>
        <w:t>: Total, Average, Minimum and Maximum Claimed Amounts (in PKR)</w:t>
      </w:r>
    </w:p>
    <w:tbl>
      <w:tblPr>
        <w:tblW w:w="9450" w:type="dxa"/>
        <w:tblInd w:w="-370" w:type="dxa"/>
        <w:tblBorders>
          <w:top w:val="single" w:sz="8" w:space="0" w:color="45A7E1"/>
          <w:left w:val="single" w:sz="8" w:space="0" w:color="45A7E1"/>
          <w:bottom w:val="single" w:sz="8" w:space="0" w:color="45A7E1"/>
          <w:right w:val="single" w:sz="8" w:space="0" w:color="45A7E1"/>
          <w:insideH w:val="single" w:sz="8" w:space="0" w:color="45A7E1"/>
          <w:insideV w:val="single" w:sz="8" w:space="0" w:color="45A7E1"/>
        </w:tblBorders>
        <w:tblLayout w:type="fixed"/>
        <w:tblLook w:val="04A0" w:firstRow="1" w:lastRow="0" w:firstColumn="1" w:lastColumn="0" w:noHBand="0" w:noVBand="1"/>
      </w:tblPr>
      <w:tblGrid>
        <w:gridCol w:w="2700"/>
        <w:gridCol w:w="1350"/>
        <w:gridCol w:w="1350"/>
        <w:gridCol w:w="1170"/>
        <w:gridCol w:w="1170"/>
        <w:gridCol w:w="1710"/>
      </w:tblGrid>
      <w:tr w:rsidR="00CB5120" w:rsidRPr="004B1AF9" w14:paraId="0026F129" w14:textId="77777777" w:rsidTr="00D03A56">
        <w:trPr>
          <w:trHeight w:val="319"/>
        </w:trPr>
        <w:tc>
          <w:tcPr>
            <w:tcW w:w="2700" w:type="dxa"/>
            <w:shd w:val="clear" w:color="000000" w:fill="0B1F51"/>
            <w:vAlign w:val="center"/>
          </w:tcPr>
          <w:p w14:paraId="32242D0A" w14:textId="77777777" w:rsidR="00CB5120" w:rsidRPr="00102CFC" w:rsidRDefault="00CB5120" w:rsidP="00D03A56">
            <w:pPr>
              <w:spacing w:after="0" w:line="240" w:lineRule="auto"/>
              <w:jc w:val="center"/>
              <w:rPr>
                <w:rFonts w:asciiTheme="minorBidi" w:eastAsia="Times New Roman" w:hAnsiTheme="minorBidi" w:cstheme="minorBidi"/>
                <w:color w:val="FFFFFF"/>
                <w:sz w:val="20"/>
                <w:szCs w:val="20"/>
                <w:lang w:eastAsia="en-US"/>
              </w:rPr>
            </w:pPr>
            <w:r w:rsidRPr="00102CFC">
              <w:rPr>
                <w:rFonts w:asciiTheme="minorBidi" w:hAnsiTheme="minorBidi" w:cstheme="minorBidi"/>
                <w:sz w:val="20"/>
                <w:szCs w:val="20"/>
              </w:rPr>
              <w:t>Hospital</w:t>
            </w:r>
          </w:p>
        </w:tc>
        <w:tc>
          <w:tcPr>
            <w:tcW w:w="1350" w:type="dxa"/>
            <w:shd w:val="clear" w:color="000000" w:fill="0B1F51"/>
            <w:noWrap/>
            <w:vAlign w:val="center"/>
          </w:tcPr>
          <w:p w14:paraId="30E0A98E" w14:textId="77777777" w:rsidR="00CB5120" w:rsidRPr="004B1AF9" w:rsidRDefault="00CB5120" w:rsidP="00D03A56">
            <w:pPr>
              <w:spacing w:after="0" w:line="240" w:lineRule="auto"/>
              <w:jc w:val="center"/>
              <w:rPr>
                <w:rFonts w:asciiTheme="minorBidi" w:eastAsia="Times New Roman" w:hAnsiTheme="minorBidi" w:cstheme="minorBidi"/>
                <w:color w:val="FFFFFF"/>
                <w:sz w:val="20"/>
                <w:szCs w:val="20"/>
                <w:lang w:eastAsia="en-US"/>
              </w:rPr>
            </w:pPr>
            <w:r w:rsidRPr="004B1AF9">
              <w:rPr>
                <w:rFonts w:asciiTheme="minorBidi" w:eastAsia="Times New Roman" w:hAnsiTheme="minorBidi" w:cstheme="minorBidi"/>
                <w:color w:val="FFFFFF"/>
                <w:sz w:val="20"/>
                <w:szCs w:val="20"/>
                <w:lang w:eastAsia="en-US"/>
              </w:rPr>
              <w:t>Total Admissions</w:t>
            </w:r>
          </w:p>
        </w:tc>
        <w:tc>
          <w:tcPr>
            <w:tcW w:w="1350" w:type="dxa"/>
            <w:shd w:val="clear" w:color="000000" w:fill="0B1F51"/>
            <w:vAlign w:val="center"/>
          </w:tcPr>
          <w:p w14:paraId="35D58D05" w14:textId="77777777" w:rsidR="00CB5120" w:rsidRPr="004B1AF9" w:rsidRDefault="00CB5120" w:rsidP="00D03A56">
            <w:pPr>
              <w:spacing w:after="0" w:line="240" w:lineRule="auto"/>
              <w:jc w:val="center"/>
              <w:rPr>
                <w:rFonts w:asciiTheme="minorBidi" w:eastAsia="Times New Roman" w:hAnsiTheme="minorBidi" w:cstheme="minorBidi"/>
                <w:color w:val="FFFFFF"/>
                <w:sz w:val="20"/>
                <w:szCs w:val="20"/>
                <w:lang w:eastAsia="en-US"/>
              </w:rPr>
            </w:pPr>
            <w:r w:rsidRPr="004B1AF9">
              <w:rPr>
                <w:rFonts w:asciiTheme="minorBidi" w:eastAsia="Times New Roman" w:hAnsiTheme="minorBidi" w:cstheme="minorBidi"/>
                <w:color w:val="FFFFFF"/>
                <w:sz w:val="20"/>
                <w:szCs w:val="20"/>
                <w:lang w:eastAsia="en-US"/>
              </w:rPr>
              <w:t>Average Claimed Amount</w:t>
            </w:r>
          </w:p>
        </w:tc>
        <w:tc>
          <w:tcPr>
            <w:tcW w:w="1170" w:type="dxa"/>
            <w:shd w:val="clear" w:color="000000" w:fill="0B1F51"/>
            <w:noWrap/>
            <w:vAlign w:val="center"/>
          </w:tcPr>
          <w:p w14:paraId="5C8FC9E3" w14:textId="77777777" w:rsidR="00CB5120" w:rsidRPr="004B1AF9" w:rsidRDefault="00CB5120" w:rsidP="00D03A56">
            <w:pPr>
              <w:spacing w:after="0" w:line="240" w:lineRule="auto"/>
              <w:jc w:val="center"/>
              <w:rPr>
                <w:rFonts w:asciiTheme="minorBidi" w:eastAsia="Times New Roman" w:hAnsiTheme="minorBidi" w:cstheme="minorBidi"/>
                <w:color w:val="FFFFFF"/>
                <w:sz w:val="20"/>
                <w:szCs w:val="20"/>
                <w:lang w:eastAsia="en-US"/>
              </w:rPr>
            </w:pPr>
            <w:r w:rsidRPr="004B1AF9">
              <w:rPr>
                <w:rFonts w:asciiTheme="minorBidi" w:eastAsia="Times New Roman" w:hAnsiTheme="minorBidi" w:cstheme="minorBidi"/>
                <w:color w:val="FFFFFF"/>
                <w:sz w:val="20"/>
                <w:szCs w:val="20"/>
                <w:lang w:eastAsia="en-US"/>
              </w:rPr>
              <w:t>Minimum</w:t>
            </w:r>
          </w:p>
        </w:tc>
        <w:tc>
          <w:tcPr>
            <w:tcW w:w="1170" w:type="dxa"/>
            <w:shd w:val="clear" w:color="000000" w:fill="0B1F51"/>
            <w:vAlign w:val="center"/>
          </w:tcPr>
          <w:p w14:paraId="1340F7D6" w14:textId="77777777" w:rsidR="00CB5120" w:rsidRPr="004B1AF9" w:rsidRDefault="00CB5120" w:rsidP="00D03A56">
            <w:pPr>
              <w:spacing w:after="0" w:line="240" w:lineRule="auto"/>
              <w:jc w:val="center"/>
              <w:rPr>
                <w:rFonts w:asciiTheme="minorBidi" w:eastAsia="Times New Roman" w:hAnsiTheme="minorBidi" w:cstheme="minorBidi"/>
                <w:color w:val="FFFFFF"/>
                <w:sz w:val="20"/>
                <w:szCs w:val="20"/>
                <w:lang w:eastAsia="en-US"/>
              </w:rPr>
            </w:pPr>
            <w:r w:rsidRPr="004B1AF9">
              <w:rPr>
                <w:rFonts w:asciiTheme="minorBidi" w:eastAsia="Times New Roman" w:hAnsiTheme="minorBidi" w:cstheme="minorBidi"/>
                <w:color w:val="FFFFFF"/>
                <w:sz w:val="20"/>
                <w:szCs w:val="20"/>
                <w:lang w:eastAsia="en-US"/>
              </w:rPr>
              <w:t>Maximum</w:t>
            </w:r>
          </w:p>
        </w:tc>
        <w:tc>
          <w:tcPr>
            <w:tcW w:w="1710" w:type="dxa"/>
            <w:shd w:val="clear" w:color="000000" w:fill="0B1F51"/>
            <w:vAlign w:val="center"/>
          </w:tcPr>
          <w:p w14:paraId="3E709593" w14:textId="77777777" w:rsidR="00CB5120" w:rsidRPr="004B1AF9" w:rsidRDefault="00CB5120" w:rsidP="00D03A56">
            <w:pPr>
              <w:spacing w:after="0" w:line="240" w:lineRule="auto"/>
              <w:jc w:val="center"/>
              <w:rPr>
                <w:rFonts w:asciiTheme="minorBidi" w:eastAsia="Times New Roman" w:hAnsiTheme="minorBidi" w:cstheme="minorBidi"/>
                <w:color w:val="FFFFFF"/>
                <w:sz w:val="20"/>
                <w:szCs w:val="20"/>
                <w:lang w:eastAsia="en-US"/>
              </w:rPr>
            </w:pPr>
            <w:r>
              <w:rPr>
                <w:rFonts w:asciiTheme="minorBidi" w:eastAsia="Times New Roman" w:hAnsiTheme="minorBidi" w:cstheme="minorBidi"/>
                <w:color w:val="FFFFFF"/>
                <w:sz w:val="20"/>
                <w:szCs w:val="20"/>
                <w:lang w:eastAsia="en-US"/>
              </w:rPr>
              <w:t>Total Claimed Amount</w:t>
            </w:r>
          </w:p>
        </w:tc>
      </w:tr>
      <w:tr w:rsidR="00CB5120" w:rsidRPr="004B1AF9" w14:paraId="1C6D2A72" w14:textId="77777777" w:rsidTr="00AE4FA0">
        <w:trPr>
          <w:trHeight w:val="288"/>
        </w:trPr>
        <w:tc>
          <w:tcPr>
            <w:tcW w:w="2700" w:type="dxa"/>
            <w:shd w:val="clear" w:color="000000" w:fill="DBE4ED"/>
            <w:noWrap/>
            <w:vAlign w:val="center"/>
          </w:tcPr>
          <w:p w14:paraId="70FE73AE" w14:textId="77777777" w:rsidR="00CB5120" w:rsidRPr="00102CFC" w:rsidRDefault="00CB5120" w:rsidP="00D03A56">
            <w:pPr>
              <w:spacing w:after="0" w:line="240" w:lineRule="auto"/>
              <w:rPr>
                <w:rFonts w:eastAsia="Times New Roman"/>
                <w:color w:val="0B1F51"/>
                <w:sz w:val="20"/>
                <w:szCs w:val="20"/>
                <w:lang w:eastAsia="en-US"/>
              </w:rPr>
            </w:pPr>
            <w:r w:rsidRPr="00102CFC">
              <w:rPr>
                <w:rFonts w:eastAsia="Times New Roman"/>
                <w:color w:val="0B1F51"/>
                <w:sz w:val="20"/>
                <w:szCs w:val="20"/>
                <w:lang w:eastAsia="en-US"/>
              </w:rPr>
              <w:t xml:space="preserve">City </w:t>
            </w:r>
            <w:r>
              <w:rPr>
                <w:rFonts w:eastAsia="Times New Roman"/>
                <w:color w:val="0B1F51"/>
                <w:sz w:val="20"/>
                <w:szCs w:val="20"/>
                <w:lang w:eastAsia="en-US"/>
              </w:rPr>
              <w:t xml:space="preserve">Hospital </w:t>
            </w:r>
            <w:r w:rsidRPr="00102CFC">
              <w:rPr>
                <w:rFonts w:eastAsia="Times New Roman"/>
                <w:color w:val="0B1F51"/>
                <w:sz w:val="20"/>
                <w:szCs w:val="20"/>
                <w:lang w:eastAsia="en-US"/>
              </w:rPr>
              <w:t>Gilgit</w:t>
            </w:r>
          </w:p>
        </w:tc>
        <w:tc>
          <w:tcPr>
            <w:tcW w:w="1350" w:type="dxa"/>
            <w:shd w:val="clear" w:color="000000" w:fill="DBE4ED"/>
            <w:noWrap/>
            <w:vAlign w:val="center"/>
          </w:tcPr>
          <w:p w14:paraId="6CA8C67B" w14:textId="77777777" w:rsidR="00CB5120" w:rsidRDefault="00CB5120" w:rsidP="00AE4FA0">
            <w:pPr>
              <w:spacing w:after="0" w:line="240" w:lineRule="auto"/>
              <w:jc w:val="center"/>
              <w:rPr>
                <w:rFonts w:ascii="Calibri" w:hAnsi="Calibri" w:cs="Calibri"/>
                <w:color w:val="000000"/>
                <w:lang w:val="en-US" w:eastAsia="en-US"/>
              </w:rPr>
            </w:pPr>
            <w:r>
              <w:rPr>
                <w:rFonts w:ascii="Calibri" w:hAnsi="Calibri" w:cs="Calibri"/>
                <w:color w:val="000000"/>
                <w:lang w:val="en-US" w:eastAsia="en-US"/>
              </w:rPr>
              <w:t>107</w:t>
            </w:r>
          </w:p>
        </w:tc>
        <w:tc>
          <w:tcPr>
            <w:tcW w:w="1350" w:type="dxa"/>
            <w:shd w:val="clear" w:color="000000" w:fill="DBE4ED"/>
            <w:noWrap/>
            <w:vAlign w:val="center"/>
          </w:tcPr>
          <w:p w14:paraId="21D3570B" w14:textId="77777777" w:rsidR="00CB5120" w:rsidRDefault="00CB5120" w:rsidP="00AE4FA0">
            <w:pPr>
              <w:spacing w:after="0" w:line="240" w:lineRule="auto"/>
              <w:jc w:val="center"/>
              <w:rPr>
                <w:rFonts w:ascii="Calibri" w:hAnsi="Calibri" w:cs="Calibri"/>
                <w:color w:val="000000"/>
                <w:lang w:val="en-US" w:eastAsia="en-US"/>
              </w:rPr>
            </w:pPr>
            <w:r>
              <w:rPr>
                <w:rFonts w:ascii="Calibri" w:hAnsi="Calibri" w:cs="Calibri"/>
                <w:color w:val="000000"/>
                <w:lang w:val="en-US" w:eastAsia="en-US"/>
              </w:rPr>
              <w:t>11,369</w:t>
            </w:r>
          </w:p>
        </w:tc>
        <w:tc>
          <w:tcPr>
            <w:tcW w:w="1170" w:type="dxa"/>
            <w:shd w:val="clear" w:color="000000" w:fill="DBE4ED"/>
            <w:noWrap/>
            <w:vAlign w:val="center"/>
          </w:tcPr>
          <w:p w14:paraId="43BF0C4D" w14:textId="77777777" w:rsidR="00CB5120" w:rsidRDefault="00CB5120" w:rsidP="00AE4FA0">
            <w:pPr>
              <w:spacing w:after="0" w:line="240" w:lineRule="auto"/>
              <w:jc w:val="center"/>
              <w:rPr>
                <w:rFonts w:ascii="Calibri" w:hAnsi="Calibri" w:cs="Calibri"/>
                <w:color w:val="000000"/>
              </w:rPr>
            </w:pPr>
            <w:r>
              <w:rPr>
                <w:rFonts w:ascii="Calibri" w:hAnsi="Calibri" w:cs="Calibri"/>
                <w:color w:val="000000"/>
              </w:rPr>
              <w:t>827</w:t>
            </w:r>
          </w:p>
        </w:tc>
        <w:tc>
          <w:tcPr>
            <w:tcW w:w="1170" w:type="dxa"/>
            <w:shd w:val="clear" w:color="000000" w:fill="DBE4ED"/>
            <w:vAlign w:val="center"/>
          </w:tcPr>
          <w:p w14:paraId="1347AE82" w14:textId="77777777" w:rsidR="00CB5120" w:rsidRDefault="00CB5120" w:rsidP="00AE4FA0">
            <w:pPr>
              <w:spacing w:after="0" w:line="240" w:lineRule="auto"/>
              <w:jc w:val="center"/>
              <w:rPr>
                <w:rFonts w:ascii="Calibri" w:hAnsi="Calibri" w:cs="Calibri"/>
                <w:color w:val="000000"/>
              </w:rPr>
            </w:pPr>
            <w:r>
              <w:rPr>
                <w:rFonts w:ascii="Calibri" w:hAnsi="Calibri" w:cs="Calibri"/>
                <w:color w:val="000000"/>
              </w:rPr>
              <w:t>25,000</w:t>
            </w:r>
          </w:p>
        </w:tc>
        <w:tc>
          <w:tcPr>
            <w:tcW w:w="1710" w:type="dxa"/>
            <w:shd w:val="clear" w:color="000000" w:fill="DBE4ED"/>
            <w:noWrap/>
            <w:vAlign w:val="center"/>
          </w:tcPr>
          <w:p w14:paraId="3FFE5E1C" w14:textId="77777777" w:rsidR="00CB5120" w:rsidRDefault="00CB5120" w:rsidP="00AE4FA0">
            <w:pPr>
              <w:spacing w:after="0" w:line="240" w:lineRule="auto"/>
              <w:jc w:val="center"/>
              <w:rPr>
                <w:rFonts w:ascii="Calibri" w:hAnsi="Calibri" w:cs="Calibri"/>
                <w:color w:val="000000"/>
              </w:rPr>
            </w:pPr>
            <w:r>
              <w:rPr>
                <w:rFonts w:ascii="Calibri" w:hAnsi="Calibri" w:cs="Calibri"/>
                <w:color w:val="000000"/>
              </w:rPr>
              <w:t>1,216,520</w:t>
            </w:r>
          </w:p>
        </w:tc>
      </w:tr>
      <w:tr w:rsidR="00CB5120" w:rsidRPr="004B1AF9" w14:paraId="40A4FB6B" w14:textId="77777777" w:rsidTr="00AE4FA0">
        <w:trPr>
          <w:trHeight w:val="288"/>
        </w:trPr>
        <w:tc>
          <w:tcPr>
            <w:tcW w:w="2700" w:type="dxa"/>
            <w:shd w:val="clear" w:color="000000" w:fill="DBE4ED"/>
            <w:noWrap/>
            <w:vAlign w:val="center"/>
          </w:tcPr>
          <w:p w14:paraId="23021BD3" w14:textId="77777777" w:rsidR="00CB5120" w:rsidRPr="00102CFC" w:rsidRDefault="00CB5120" w:rsidP="00D03A56">
            <w:pPr>
              <w:spacing w:after="0" w:line="240" w:lineRule="auto"/>
              <w:rPr>
                <w:rFonts w:eastAsia="Times New Roman"/>
                <w:color w:val="0B1F51"/>
                <w:sz w:val="20"/>
                <w:szCs w:val="20"/>
                <w:lang w:eastAsia="en-US"/>
              </w:rPr>
            </w:pPr>
            <w:r w:rsidRPr="00102CFC">
              <w:rPr>
                <w:rFonts w:eastAsia="Times New Roman"/>
                <w:color w:val="0B1F51"/>
                <w:sz w:val="20"/>
                <w:szCs w:val="20"/>
                <w:lang w:eastAsia="en-US"/>
              </w:rPr>
              <w:t>District Head Quarter</w:t>
            </w:r>
          </w:p>
        </w:tc>
        <w:tc>
          <w:tcPr>
            <w:tcW w:w="1350" w:type="dxa"/>
            <w:shd w:val="clear" w:color="000000" w:fill="DBE4ED"/>
            <w:noWrap/>
            <w:vAlign w:val="center"/>
          </w:tcPr>
          <w:p w14:paraId="22F24146" w14:textId="77777777" w:rsidR="00CB5120" w:rsidRDefault="00CB5120" w:rsidP="00AE4FA0">
            <w:pPr>
              <w:spacing w:after="0" w:line="240" w:lineRule="auto"/>
              <w:jc w:val="center"/>
              <w:rPr>
                <w:rFonts w:ascii="Calibri" w:hAnsi="Calibri" w:cs="Calibri"/>
                <w:color w:val="000000"/>
              </w:rPr>
            </w:pPr>
            <w:r>
              <w:rPr>
                <w:rFonts w:ascii="Calibri" w:hAnsi="Calibri" w:cs="Calibri"/>
                <w:color w:val="000000"/>
              </w:rPr>
              <w:t>86</w:t>
            </w:r>
          </w:p>
        </w:tc>
        <w:tc>
          <w:tcPr>
            <w:tcW w:w="1350" w:type="dxa"/>
            <w:shd w:val="clear" w:color="000000" w:fill="DBE4ED"/>
            <w:noWrap/>
            <w:vAlign w:val="center"/>
          </w:tcPr>
          <w:p w14:paraId="42BEE92E" w14:textId="77777777" w:rsidR="00CB5120" w:rsidRDefault="00CB5120" w:rsidP="00AE4FA0">
            <w:pPr>
              <w:spacing w:after="0" w:line="240" w:lineRule="auto"/>
              <w:jc w:val="center"/>
              <w:rPr>
                <w:rFonts w:ascii="Calibri" w:hAnsi="Calibri" w:cs="Calibri"/>
                <w:color w:val="000000"/>
              </w:rPr>
            </w:pPr>
            <w:r>
              <w:rPr>
                <w:rFonts w:ascii="Calibri" w:hAnsi="Calibri" w:cs="Calibri"/>
                <w:color w:val="000000"/>
              </w:rPr>
              <w:t>8,982</w:t>
            </w:r>
          </w:p>
        </w:tc>
        <w:tc>
          <w:tcPr>
            <w:tcW w:w="1170" w:type="dxa"/>
            <w:shd w:val="clear" w:color="000000" w:fill="DBE4ED"/>
            <w:noWrap/>
            <w:vAlign w:val="center"/>
          </w:tcPr>
          <w:p w14:paraId="31045FE1" w14:textId="77777777" w:rsidR="00CB5120" w:rsidRDefault="00CB5120" w:rsidP="00AE4FA0">
            <w:pPr>
              <w:spacing w:after="0" w:line="240" w:lineRule="auto"/>
              <w:jc w:val="center"/>
              <w:rPr>
                <w:rFonts w:ascii="Calibri" w:hAnsi="Calibri" w:cs="Calibri"/>
                <w:color w:val="000000"/>
              </w:rPr>
            </w:pPr>
            <w:r>
              <w:rPr>
                <w:rFonts w:ascii="Calibri" w:hAnsi="Calibri" w:cs="Calibri"/>
                <w:color w:val="000000"/>
              </w:rPr>
              <w:t>1,622</w:t>
            </w:r>
          </w:p>
        </w:tc>
        <w:tc>
          <w:tcPr>
            <w:tcW w:w="1170" w:type="dxa"/>
            <w:shd w:val="clear" w:color="000000" w:fill="DBE4ED"/>
            <w:vAlign w:val="center"/>
          </w:tcPr>
          <w:p w14:paraId="0FDF103C" w14:textId="77777777" w:rsidR="00CB5120" w:rsidRDefault="00CB5120" w:rsidP="00AE4FA0">
            <w:pPr>
              <w:spacing w:after="0" w:line="240" w:lineRule="auto"/>
              <w:jc w:val="center"/>
              <w:rPr>
                <w:rFonts w:ascii="Calibri" w:hAnsi="Calibri" w:cs="Calibri"/>
                <w:color w:val="000000"/>
              </w:rPr>
            </w:pPr>
            <w:r>
              <w:rPr>
                <w:rFonts w:ascii="Calibri" w:hAnsi="Calibri" w:cs="Calibri"/>
                <w:color w:val="000000"/>
              </w:rPr>
              <w:t>24,730</w:t>
            </w:r>
          </w:p>
        </w:tc>
        <w:tc>
          <w:tcPr>
            <w:tcW w:w="1710" w:type="dxa"/>
            <w:shd w:val="clear" w:color="000000" w:fill="DBE4ED"/>
            <w:noWrap/>
            <w:vAlign w:val="center"/>
          </w:tcPr>
          <w:p w14:paraId="7B7E8AEF" w14:textId="77777777" w:rsidR="00CB5120" w:rsidRDefault="00CB5120" w:rsidP="00AE4FA0">
            <w:pPr>
              <w:spacing w:after="0" w:line="240" w:lineRule="auto"/>
              <w:jc w:val="center"/>
              <w:rPr>
                <w:rFonts w:ascii="Calibri" w:hAnsi="Calibri" w:cs="Calibri"/>
                <w:color w:val="000000"/>
              </w:rPr>
            </w:pPr>
            <w:r>
              <w:rPr>
                <w:rFonts w:ascii="Calibri" w:hAnsi="Calibri" w:cs="Calibri"/>
                <w:color w:val="000000"/>
              </w:rPr>
              <w:t>772,472</w:t>
            </w:r>
          </w:p>
        </w:tc>
      </w:tr>
      <w:tr w:rsidR="00CB5120" w:rsidRPr="004B1AF9" w14:paraId="02E7AD87" w14:textId="77777777" w:rsidTr="00AE4FA0">
        <w:trPr>
          <w:trHeight w:val="288"/>
        </w:trPr>
        <w:tc>
          <w:tcPr>
            <w:tcW w:w="2700" w:type="dxa"/>
            <w:shd w:val="clear" w:color="000000" w:fill="DBE4ED"/>
            <w:noWrap/>
            <w:vAlign w:val="center"/>
          </w:tcPr>
          <w:p w14:paraId="144E16CF" w14:textId="77777777" w:rsidR="00CB5120" w:rsidRPr="00102CFC" w:rsidRDefault="00CB5120" w:rsidP="00D03A56">
            <w:pPr>
              <w:spacing w:after="0" w:line="240" w:lineRule="auto"/>
              <w:rPr>
                <w:rFonts w:eastAsia="Times New Roman"/>
                <w:color w:val="0B1F51"/>
                <w:sz w:val="20"/>
                <w:szCs w:val="20"/>
                <w:lang w:eastAsia="en-US"/>
              </w:rPr>
            </w:pPr>
            <w:r w:rsidRPr="00102CFC">
              <w:rPr>
                <w:rFonts w:eastAsia="Times New Roman"/>
                <w:color w:val="0B1F51"/>
                <w:sz w:val="20"/>
                <w:szCs w:val="20"/>
                <w:lang w:eastAsia="en-US"/>
              </w:rPr>
              <w:t>AK Medical Centre (GMC)</w:t>
            </w:r>
          </w:p>
        </w:tc>
        <w:tc>
          <w:tcPr>
            <w:tcW w:w="1350" w:type="dxa"/>
            <w:shd w:val="clear" w:color="000000" w:fill="DBE4ED"/>
            <w:noWrap/>
            <w:vAlign w:val="center"/>
          </w:tcPr>
          <w:p w14:paraId="12CDBBFF" w14:textId="77777777" w:rsidR="00CB5120" w:rsidRDefault="00CB5120" w:rsidP="00AE4FA0">
            <w:pPr>
              <w:spacing w:after="0" w:line="240" w:lineRule="auto"/>
              <w:jc w:val="center"/>
              <w:rPr>
                <w:rFonts w:ascii="Calibri" w:hAnsi="Calibri" w:cs="Calibri"/>
                <w:color w:val="000000"/>
              </w:rPr>
            </w:pPr>
            <w:r>
              <w:rPr>
                <w:rFonts w:ascii="Calibri" w:hAnsi="Calibri" w:cs="Calibri"/>
                <w:color w:val="000000"/>
              </w:rPr>
              <w:t>323</w:t>
            </w:r>
          </w:p>
        </w:tc>
        <w:tc>
          <w:tcPr>
            <w:tcW w:w="1350" w:type="dxa"/>
            <w:shd w:val="clear" w:color="000000" w:fill="DBE4ED"/>
            <w:noWrap/>
            <w:vAlign w:val="center"/>
          </w:tcPr>
          <w:p w14:paraId="79B1F356" w14:textId="77777777" w:rsidR="00CB5120" w:rsidRDefault="00CB5120" w:rsidP="00AE4FA0">
            <w:pPr>
              <w:spacing w:after="0" w:line="240" w:lineRule="auto"/>
              <w:jc w:val="center"/>
              <w:rPr>
                <w:rFonts w:ascii="Calibri" w:hAnsi="Calibri" w:cs="Calibri"/>
                <w:color w:val="000000"/>
              </w:rPr>
            </w:pPr>
            <w:r>
              <w:rPr>
                <w:rFonts w:ascii="Calibri" w:hAnsi="Calibri" w:cs="Calibri"/>
                <w:color w:val="000000"/>
              </w:rPr>
              <w:t>16,606</w:t>
            </w:r>
          </w:p>
        </w:tc>
        <w:tc>
          <w:tcPr>
            <w:tcW w:w="1170" w:type="dxa"/>
            <w:shd w:val="clear" w:color="000000" w:fill="DBE4ED"/>
            <w:noWrap/>
            <w:vAlign w:val="center"/>
          </w:tcPr>
          <w:p w14:paraId="3AD111F2" w14:textId="77777777" w:rsidR="00CB5120" w:rsidRDefault="00CB5120" w:rsidP="00AE4FA0">
            <w:pPr>
              <w:spacing w:after="0" w:line="240" w:lineRule="auto"/>
              <w:jc w:val="center"/>
              <w:rPr>
                <w:rFonts w:ascii="Calibri" w:hAnsi="Calibri" w:cs="Calibri"/>
                <w:color w:val="000000"/>
              </w:rPr>
            </w:pPr>
            <w:r>
              <w:rPr>
                <w:rFonts w:ascii="Calibri" w:hAnsi="Calibri" w:cs="Calibri"/>
                <w:color w:val="000000"/>
              </w:rPr>
              <w:t>994</w:t>
            </w:r>
          </w:p>
        </w:tc>
        <w:tc>
          <w:tcPr>
            <w:tcW w:w="1170" w:type="dxa"/>
            <w:shd w:val="clear" w:color="000000" w:fill="DBE4ED"/>
            <w:vAlign w:val="center"/>
          </w:tcPr>
          <w:p w14:paraId="01AA3361" w14:textId="77777777" w:rsidR="00CB5120" w:rsidRDefault="00CB5120" w:rsidP="00AE4FA0">
            <w:pPr>
              <w:spacing w:after="0" w:line="240" w:lineRule="auto"/>
              <w:jc w:val="center"/>
              <w:rPr>
                <w:rFonts w:ascii="Calibri" w:hAnsi="Calibri" w:cs="Calibri"/>
                <w:color w:val="000000"/>
              </w:rPr>
            </w:pPr>
            <w:r>
              <w:rPr>
                <w:rFonts w:ascii="Calibri" w:hAnsi="Calibri" w:cs="Calibri"/>
                <w:color w:val="000000"/>
              </w:rPr>
              <w:t>40,000</w:t>
            </w:r>
          </w:p>
        </w:tc>
        <w:tc>
          <w:tcPr>
            <w:tcW w:w="1710" w:type="dxa"/>
            <w:shd w:val="clear" w:color="000000" w:fill="DBE4ED"/>
            <w:noWrap/>
            <w:vAlign w:val="center"/>
          </w:tcPr>
          <w:p w14:paraId="7981C822" w14:textId="77777777" w:rsidR="00CB5120" w:rsidRDefault="00CB5120" w:rsidP="00AE4FA0">
            <w:pPr>
              <w:spacing w:after="0" w:line="240" w:lineRule="auto"/>
              <w:jc w:val="center"/>
              <w:rPr>
                <w:rFonts w:ascii="Calibri" w:hAnsi="Calibri" w:cs="Calibri"/>
                <w:color w:val="000000"/>
              </w:rPr>
            </w:pPr>
            <w:r>
              <w:rPr>
                <w:rFonts w:ascii="Calibri" w:hAnsi="Calibri" w:cs="Calibri"/>
                <w:color w:val="000000"/>
              </w:rPr>
              <w:t>5,363,794</w:t>
            </w:r>
          </w:p>
        </w:tc>
      </w:tr>
      <w:tr w:rsidR="00CB5120" w:rsidRPr="004B1AF9" w14:paraId="4D331DD0" w14:textId="77777777" w:rsidTr="00AE4FA0">
        <w:trPr>
          <w:trHeight w:val="288"/>
        </w:trPr>
        <w:tc>
          <w:tcPr>
            <w:tcW w:w="2700" w:type="dxa"/>
            <w:shd w:val="clear" w:color="000000" w:fill="DBE4ED"/>
            <w:noWrap/>
            <w:vAlign w:val="center"/>
          </w:tcPr>
          <w:p w14:paraId="0CF8C5B9" w14:textId="77777777" w:rsidR="00CB5120" w:rsidRPr="00102CFC" w:rsidRDefault="00CB5120" w:rsidP="00D03A56">
            <w:pPr>
              <w:spacing w:after="0" w:line="240" w:lineRule="auto"/>
              <w:rPr>
                <w:rFonts w:eastAsia="Times New Roman"/>
                <w:color w:val="0B1F51"/>
                <w:sz w:val="20"/>
                <w:szCs w:val="20"/>
                <w:lang w:eastAsia="en-US"/>
              </w:rPr>
            </w:pPr>
            <w:r w:rsidRPr="00102CFC">
              <w:rPr>
                <w:rFonts w:eastAsia="Times New Roman"/>
                <w:color w:val="0B1F51"/>
                <w:sz w:val="20"/>
                <w:szCs w:val="20"/>
                <w:lang w:eastAsia="en-US"/>
              </w:rPr>
              <w:t>Sehat Foundation Hospital</w:t>
            </w:r>
          </w:p>
        </w:tc>
        <w:tc>
          <w:tcPr>
            <w:tcW w:w="1350" w:type="dxa"/>
            <w:shd w:val="clear" w:color="000000" w:fill="DBE4ED"/>
            <w:noWrap/>
            <w:vAlign w:val="center"/>
          </w:tcPr>
          <w:p w14:paraId="3EC60E18" w14:textId="77777777" w:rsidR="00CB5120" w:rsidRDefault="00CB5120" w:rsidP="00AE4FA0">
            <w:pPr>
              <w:spacing w:after="0" w:line="240" w:lineRule="auto"/>
              <w:jc w:val="center"/>
              <w:rPr>
                <w:rFonts w:ascii="Calibri" w:hAnsi="Calibri" w:cs="Calibri"/>
                <w:color w:val="000000"/>
              </w:rPr>
            </w:pPr>
            <w:r>
              <w:rPr>
                <w:rFonts w:ascii="Calibri" w:hAnsi="Calibri" w:cs="Calibri"/>
                <w:color w:val="000000"/>
              </w:rPr>
              <w:t>6</w:t>
            </w:r>
          </w:p>
        </w:tc>
        <w:tc>
          <w:tcPr>
            <w:tcW w:w="1350" w:type="dxa"/>
            <w:shd w:val="clear" w:color="000000" w:fill="DBE4ED"/>
            <w:noWrap/>
            <w:vAlign w:val="center"/>
          </w:tcPr>
          <w:p w14:paraId="4F178EEB" w14:textId="77777777" w:rsidR="00CB5120" w:rsidRDefault="00CB5120" w:rsidP="00AE4FA0">
            <w:pPr>
              <w:spacing w:after="0" w:line="240" w:lineRule="auto"/>
              <w:jc w:val="center"/>
              <w:rPr>
                <w:rFonts w:ascii="Calibri" w:hAnsi="Calibri" w:cs="Calibri"/>
                <w:color w:val="000000"/>
              </w:rPr>
            </w:pPr>
            <w:r>
              <w:rPr>
                <w:rFonts w:ascii="Calibri" w:hAnsi="Calibri" w:cs="Calibri"/>
                <w:color w:val="000000"/>
              </w:rPr>
              <w:t>22,255</w:t>
            </w:r>
          </w:p>
        </w:tc>
        <w:tc>
          <w:tcPr>
            <w:tcW w:w="1170" w:type="dxa"/>
            <w:shd w:val="clear" w:color="000000" w:fill="DBE4ED"/>
            <w:noWrap/>
            <w:vAlign w:val="center"/>
          </w:tcPr>
          <w:p w14:paraId="55D2A09E" w14:textId="77777777" w:rsidR="00CB5120" w:rsidRDefault="00CB5120" w:rsidP="00AE4FA0">
            <w:pPr>
              <w:spacing w:after="0" w:line="240" w:lineRule="auto"/>
              <w:jc w:val="center"/>
              <w:rPr>
                <w:rFonts w:ascii="Calibri" w:hAnsi="Calibri" w:cs="Calibri"/>
                <w:color w:val="000000"/>
              </w:rPr>
            </w:pPr>
            <w:r>
              <w:rPr>
                <w:rFonts w:ascii="Calibri" w:hAnsi="Calibri" w:cs="Calibri"/>
                <w:color w:val="000000"/>
              </w:rPr>
              <w:t>12,000</w:t>
            </w:r>
          </w:p>
        </w:tc>
        <w:tc>
          <w:tcPr>
            <w:tcW w:w="1170" w:type="dxa"/>
            <w:shd w:val="clear" w:color="000000" w:fill="DBE4ED"/>
            <w:vAlign w:val="center"/>
          </w:tcPr>
          <w:p w14:paraId="0C689FAC" w14:textId="77777777" w:rsidR="00CB5120" w:rsidRDefault="00CB5120" w:rsidP="00AE4FA0">
            <w:pPr>
              <w:spacing w:after="0" w:line="240" w:lineRule="auto"/>
              <w:jc w:val="center"/>
              <w:rPr>
                <w:rFonts w:ascii="Calibri" w:hAnsi="Calibri" w:cs="Calibri"/>
                <w:color w:val="000000"/>
              </w:rPr>
            </w:pPr>
            <w:r>
              <w:rPr>
                <w:rFonts w:ascii="Calibri" w:hAnsi="Calibri" w:cs="Calibri"/>
                <w:color w:val="000000"/>
              </w:rPr>
              <w:t>30,000</w:t>
            </w:r>
          </w:p>
        </w:tc>
        <w:tc>
          <w:tcPr>
            <w:tcW w:w="1710" w:type="dxa"/>
            <w:shd w:val="clear" w:color="000000" w:fill="DBE4ED"/>
            <w:noWrap/>
            <w:vAlign w:val="center"/>
          </w:tcPr>
          <w:p w14:paraId="24C24DE5" w14:textId="77777777" w:rsidR="00CB5120" w:rsidRDefault="00CB5120" w:rsidP="00AE4FA0">
            <w:pPr>
              <w:spacing w:after="0" w:line="240" w:lineRule="auto"/>
              <w:jc w:val="center"/>
              <w:rPr>
                <w:rFonts w:ascii="Calibri" w:hAnsi="Calibri" w:cs="Calibri"/>
                <w:color w:val="000000"/>
              </w:rPr>
            </w:pPr>
            <w:r>
              <w:rPr>
                <w:rFonts w:ascii="Calibri" w:hAnsi="Calibri" w:cs="Calibri"/>
                <w:color w:val="000000"/>
              </w:rPr>
              <w:t>133,532</w:t>
            </w:r>
          </w:p>
        </w:tc>
      </w:tr>
      <w:tr w:rsidR="00CB5120" w:rsidRPr="004B1AF9" w14:paraId="7077D9B8" w14:textId="77777777" w:rsidTr="00AE4FA0">
        <w:trPr>
          <w:trHeight w:val="288"/>
        </w:trPr>
        <w:tc>
          <w:tcPr>
            <w:tcW w:w="2700" w:type="dxa"/>
            <w:shd w:val="clear" w:color="000000" w:fill="DBE4ED"/>
            <w:noWrap/>
            <w:vAlign w:val="center"/>
          </w:tcPr>
          <w:p w14:paraId="3D0B8350" w14:textId="77777777" w:rsidR="00CB5120" w:rsidRPr="00102CFC" w:rsidRDefault="00CB5120" w:rsidP="00D03A56">
            <w:pPr>
              <w:spacing w:after="0" w:line="240" w:lineRule="auto"/>
              <w:rPr>
                <w:rFonts w:eastAsia="Times New Roman"/>
                <w:color w:val="0B1F51"/>
                <w:sz w:val="20"/>
                <w:szCs w:val="20"/>
                <w:lang w:eastAsia="en-US"/>
              </w:rPr>
            </w:pPr>
            <w:r w:rsidRPr="00102CFC">
              <w:rPr>
                <w:rFonts w:eastAsia="Times New Roman"/>
                <w:color w:val="0B1F51"/>
                <w:sz w:val="20"/>
                <w:szCs w:val="20"/>
                <w:lang w:eastAsia="en-US"/>
              </w:rPr>
              <w:t>Family Health Hospital</w:t>
            </w:r>
          </w:p>
        </w:tc>
        <w:tc>
          <w:tcPr>
            <w:tcW w:w="1350" w:type="dxa"/>
            <w:shd w:val="clear" w:color="000000" w:fill="DBE4ED"/>
            <w:noWrap/>
            <w:vAlign w:val="center"/>
          </w:tcPr>
          <w:p w14:paraId="7DB96A3A" w14:textId="77777777" w:rsidR="00CB5120" w:rsidRDefault="00CB5120" w:rsidP="00AE4FA0">
            <w:pPr>
              <w:spacing w:after="0" w:line="240" w:lineRule="auto"/>
              <w:jc w:val="center"/>
              <w:rPr>
                <w:rFonts w:ascii="Calibri" w:hAnsi="Calibri" w:cs="Calibri"/>
                <w:color w:val="000000"/>
              </w:rPr>
            </w:pPr>
            <w:r>
              <w:rPr>
                <w:rFonts w:ascii="Calibri" w:hAnsi="Calibri" w:cs="Calibri"/>
                <w:color w:val="000000"/>
              </w:rPr>
              <w:t>17</w:t>
            </w:r>
          </w:p>
        </w:tc>
        <w:tc>
          <w:tcPr>
            <w:tcW w:w="1350" w:type="dxa"/>
            <w:shd w:val="clear" w:color="000000" w:fill="DBE4ED"/>
            <w:noWrap/>
            <w:vAlign w:val="center"/>
          </w:tcPr>
          <w:p w14:paraId="4D2D2EED" w14:textId="77777777" w:rsidR="00CB5120" w:rsidRDefault="00CB5120" w:rsidP="00AE4FA0">
            <w:pPr>
              <w:spacing w:after="0" w:line="240" w:lineRule="auto"/>
              <w:jc w:val="center"/>
              <w:rPr>
                <w:rFonts w:ascii="Calibri" w:hAnsi="Calibri" w:cs="Calibri"/>
                <w:color w:val="000000"/>
              </w:rPr>
            </w:pPr>
            <w:r>
              <w:rPr>
                <w:rFonts w:ascii="Calibri" w:hAnsi="Calibri" w:cs="Calibri"/>
                <w:color w:val="000000"/>
              </w:rPr>
              <w:t>23,200</w:t>
            </w:r>
          </w:p>
        </w:tc>
        <w:tc>
          <w:tcPr>
            <w:tcW w:w="1170" w:type="dxa"/>
            <w:shd w:val="clear" w:color="000000" w:fill="DBE4ED"/>
            <w:noWrap/>
            <w:vAlign w:val="center"/>
          </w:tcPr>
          <w:p w14:paraId="596E1DAD" w14:textId="77777777" w:rsidR="00CB5120" w:rsidRDefault="00CB5120" w:rsidP="00AE4FA0">
            <w:pPr>
              <w:spacing w:after="0" w:line="240" w:lineRule="auto"/>
              <w:jc w:val="center"/>
              <w:rPr>
                <w:rFonts w:ascii="Calibri" w:hAnsi="Calibri" w:cs="Calibri"/>
                <w:color w:val="000000"/>
              </w:rPr>
            </w:pPr>
            <w:r>
              <w:rPr>
                <w:rFonts w:ascii="Calibri" w:hAnsi="Calibri" w:cs="Calibri"/>
                <w:color w:val="000000"/>
              </w:rPr>
              <w:t>12,000</w:t>
            </w:r>
          </w:p>
        </w:tc>
        <w:tc>
          <w:tcPr>
            <w:tcW w:w="1170" w:type="dxa"/>
            <w:shd w:val="clear" w:color="000000" w:fill="DBE4ED"/>
            <w:vAlign w:val="center"/>
          </w:tcPr>
          <w:p w14:paraId="70755F0B" w14:textId="77777777" w:rsidR="00CB5120" w:rsidRDefault="00CB5120" w:rsidP="00AE4FA0">
            <w:pPr>
              <w:spacing w:after="0" w:line="240" w:lineRule="auto"/>
              <w:jc w:val="center"/>
              <w:rPr>
                <w:rFonts w:ascii="Calibri" w:hAnsi="Calibri" w:cs="Calibri"/>
                <w:color w:val="000000"/>
              </w:rPr>
            </w:pPr>
            <w:r>
              <w:rPr>
                <w:rFonts w:ascii="Calibri" w:hAnsi="Calibri" w:cs="Calibri"/>
                <w:color w:val="000000"/>
              </w:rPr>
              <w:t>40,000</w:t>
            </w:r>
          </w:p>
        </w:tc>
        <w:tc>
          <w:tcPr>
            <w:tcW w:w="1710" w:type="dxa"/>
            <w:shd w:val="clear" w:color="000000" w:fill="DBE4ED"/>
            <w:noWrap/>
            <w:vAlign w:val="center"/>
          </w:tcPr>
          <w:p w14:paraId="61CC2A19" w14:textId="77777777" w:rsidR="00CB5120" w:rsidRDefault="00CB5120" w:rsidP="00AE4FA0">
            <w:pPr>
              <w:spacing w:after="0" w:line="240" w:lineRule="auto"/>
              <w:jc w:val="center"/>
              <w:rPr>
                <w:rFonts w:ascii="Calibri" w:hAnsi="Calibri" w:cs="Calibri"/>
                <w:color w:val="000000"/>
              </w:rPr>
            </w:pPr>
            <w:r>
              <w:rPr>
                <w:rFonts w:ascii="Calibri" w:hAnsi="Calibri" w:cs="Calibri"/>
                <w:color w:val="000000"/>
              </w:rPr>
              <w:t>394,400</w:t>
            </w:r>
          </w:p>
        </w:tc>
      </w:tr>
      <w:tr w:rsidR="00CB5120" w:rsidRPr="004B1AF9" w14:paraId="206C17B4" w14:textId="77777777" w:rsidTr="00AE4FA0">
        <w:trPr>
          <w:trHeight w:val="288"/>
        </w:trPr>
        <w:tc>
          <w:tcPr>
            <w:tcW w:w="2700" w:type="dxa"/>
            <w:shd w:val="clear" w:color="000000" w:fill="DBE4ED"/>
            <w:noWrap/>
            <w:vAlign w:val="center"/>
          </w:tcPr>
          <w:p w14:paraId="40E8637A" w14:textId="77777777" w:rsidR="00CB5120" w:rsidRPr="00102CFC" w:rsidRDefault="00CB5120" w:rsidP="00D03A56">
            <w:pPr>
              <w:spacing w:after="0" w:line="240" w:lineRule="auto"/>
              <w:rPr>
                <w:rFonts w:eastAsia="Times New Roman"/>
                <w:color w:val="0B1F51"/>
                <w:sz w:val="20"/>
                <w:szCs w:val="20"/>
                <w:lang w:eastAsia="en-US"/>
              </w:rPr>
            </w:pPr>
            <w:r w:rsidRPr="00102CFC">
              <w:rPr>
                <w:rFonts w:eastAsia="Times New Roman"/>
                <w:color w:val="0B1F51"/>
                <w:sz w:val="20"/>
                <w:szCs w:val="20"/>
                <w:lang w:eastAsia="en-US"/>
              </w:rPr>
              <w:t>CMH</w:t>
            </w:r>
          </w:p>
        </w:tc>
        <w:tc>
          <w:tcPr>
            <w:tcW w:w="1350" w:type="dxa"/>
            <w:shd w:val="clear" w:color="000000" w:fill="DBE4ED"/>
            <w:noWrap/>
            <w:vAlign w:val="center"/>
          </w:tcPr>
          <w:p w14:paraId="2E3D0E12" w14:textId="77777777" w:rsidR="00CB5120" w:rsidRPr="00DF2A00" w:rsidRDefault="00CB5120" w:rsidP="00AE4FA0">
            <w:pPr>
              <w:spacing w:after="0" w:line="240" w:lineRule="auto"/>
              <w:jc w:val="center"/>
              <w:rPr>
                <w:rFonts w:asciiTheme="minorBidi" w:hAnsiTheme="minorBidi" w:cstheme="minorBidi"/>
                <w:color w:val="000000"/>
                <w:sz w:val="20"/>
                <w:szCs w:val="20"/>
              </w:rPr>
            </w:pPr>
            <w:r w:rsidRPr="00DF2A00">
              <w:rPr>
                <w:rFonts w:asciiTheme="minorBidi" w:hAnsiTheme="minorBidi" w:cstheme="minorBidi"/>
                <w:color w:val="000000"/>
                <w:sz w:val="20"/>
                <w:szCs w:val="20"/>
              </w:rPr>
              <w:t>2</w:t>
            </w:r>
          </w:p>
        </w:tc>
        <w:tc>
          <w:tcPr>
            <w:tcW w:w="1350" w:type="dxa"/>
            <w:shd w:val="clear" w:color="000000" w:fill="DBE4ED"/>
            <w:noWrap/>
            <w:vAlign w:val="center"/>
          </w:tcPr>
          <w:p w14:paraId="77519EB4" w14:textId="77777777" w:rsidR="00CB5120" w:rsidRPr="00DF2A00" w:rsidRDefault="00CB5120" w:rsidP="00AE4FA0">
            <w:pPr>
              <w:spacing w:after="0" w:line="240" w:lineRule="auto"/>
              <w:jc w:val="center"/>
              <w:rPr>
                <w:rFonts w:asciiTheme="minorBidi" w:hAnsiTheme="minorBidi" w:cstheme="minorBidi"/>
                <w:color w:val="000000"/>
                <w:sz w:val="20"/>
                <w:szCs w:val="20"/>
              </w:rPr>
            </w:pPr>
            <w:r w:rsidRPr="00DF2A00">
              <w:rPr>
                <w:rFonts w:asciiTheme="minorBidi" w:hAnsiTheme="minorBidi" w:cstheme="minorBidi"/>
                <w:color w:val="000000"/>
                <w:sz w:val="20"/>
                <w:szCs w:val="20"/>
              </w:rPr>
              <w:t>40,000</w:t>
            </w:r>
          </w:p>
        </w:tc>
        <w:tc>
          <w:tcPr>
            <w:tcW w:w="1170" w:type="dxa"/>
            <w:shd w:val="clear" w:color="000000" w:fill="DBE4ED"/>
            <w:noWrap/>
            <w:vAlign w:val="center"/>
          </w:tcPr>
          <w:p w14:paraId="11425B40" w14:textId="77777777" w:rsidR="00CB5120" w:rsidRPr="00DF2A00" w:rsidRDefault="00CB5120" w:rsidP="00AE4FA0">
            <w:pPr>
              <w:spacing w:after="0" w:line="240" w:lineRule="auto"/>
              <w:jc w:val="center"/>
              <w:rPr>
                <w:rFonts w:asciiTheme="minorBidi" w:hAnsiTheme="minorBidi" w:cstheme="minorBidi"/>
                <w:color w:val="000000"/>
                <w:sz w:val="20"/>
                <w:szCs w:val="20"/>
              </w:rPr>
            </w:pPr>
            <w:r w:rsidRPr="00DF2A00">
              <w:rPr>
                <w:rFonts w:asciiTheme="minorBidi" w:hAnsiTheme="minorBidi" w:cstheme="minorBidi"/>
                <w:color w:val="000000"/>
                <w:sz w:val="20"/>
                <w:szCs w:val="20"/>
              </w:rPr>
              <w:t>40,000</w:t>
            </w:r>
          </w:p>
        </w:tc>
        <w:tc>
          <w:tcPr>
            <w:tcW w:w="1170" w:type="dxa"/>
            <w:shd w:val="clear" w:color="000000" w:fill="DBE4ED"/>
            <w:vAlign w:val="center"/>
          </w:tcPr>
          <w:p w14:paraId="39B36378" w14:textId="77777777" w:rsidR="00CB5120" w:rsidRPr="00DF2A00" w:rsidRDefault="00CB5120" w:rsidP="00AE4FA0">
            <w:pPr>
              <w:spacing w:after="0" w:line="240" w:lineRule="auto"/>
              <w:jc w:val="center"/>
              <w:rPr>
                <w:rFonts w:asciiTheme="minorBidi" w:hAnsiTheme="minorBidi" w:cstheme="minorBidi"/>
                <w:color w:val="000000"/>
                <w:sz w:val="20"/>
                <w:szCs w:val="20"/>
              </w:rPr>
            </w:pPr>
            <w:r w:rsidRPr="00DF2A00">
              <w:rPr>
                <w:rFonts w:asciiTheme="minorBidi" w:hAnsiTheme="minorBidi" w:cstheme="minorBidi"/>
                <w:color w:val="000000"/>
                <w:sz w:val="20"/>
                <w:szCs w:val="20"/>
              </w:rPr>
              <w:t>40,000</w:t>
            </w:r>
          </w:p>
        </w:tc>
        <w:tc>
          <w:tcPr>
            <w:tcW w:w="1710" w:type="dxa"/>
            <w:shd w:val="clear" w:color="000000" w:fill="DBE4ED"/>
            <w:noWrap/>
            <w:vAlign w:val="center"/>
          </w:tcPr>
          <w:p w14:paraId="31FBB56E" w14:textId="77777777" w:rsidR="00CB5120" w:rsidRPr="00DF2A00" w:rsidRDefault="00CB5120" w:rsidP="00AE4FA0">
            <w:pPr>
              <w:spacing w:after="0" w:line="240" w:lineRule="auto"/>
              <w:jc w:val="center"/>
              <w:rPr>
                <w:rFonts w:asciiTheme="minorBidi" w:hAnsiTheme="minorBidi" w:cstheme="minorBidi"/>
                <w:color w:val="000000"/>
                <w:sz w:val="20"/>
                <w:szCs w:val="20"/>
              </w:rPr>
            </w:pPr>
            <w:r w:rsidRPr="00DF2A00">
              <w:rPr>
                <w:rFonts w:asciiTheme="minorBidi" w:hAnsiTheme="minorBidi" w:cstheme="minorBidi"/>
                <w:color w:val="000000"/>
                <w:sz w:val="20"/>
                <w:szCs w:val="20"/>
              </w:rPr>
              <w:t>80,000</w:t>
            </w:r>
          </w:p>
        </w:tc>
      </w:tr>
      <w:tr w:rsidR="00CB5120" w:rsidRPr="00AE4FA0" w14:paraId="24B441AC" w14:textId="77777777" w:rsidTr="00AE4FA0">
        <w:trPr>
          <w:trHeight w:val="288"/>
        </w:trPr>
        <w:tc>
          <w:tcPr>
            <w:tcW w:w="2700" w:type="dxa"/>
            <w:shd w:val="clear" w:color="000000" w:fill="DBE4ED"/>
            <w:noWrap/>
            <w:vAlign w:val="center"/>
          </w:tcPr>
          <w:p w14:paraId="6DD60697" w14:textId="77777777" w:rsidR="00CB5120" w:rsidRPr="00AE4FA0" w:rsidRDefault="00CB5120" w:rsidP="00D03A56">
            <w:pPr>
              <w:spacing w:after="0" w:line="240" w:lineRule="auto"/>
              <w:rPr>
                <w:rFonts w:eastAsia="Times New Roman"/>
                <w:b/>
                <w:bCs/>
                <w:i/>
                <w:iCs/>
                <w:color w:val="0B1F51"/>
                <w:sz w:val="20"/>
                <w:szCs w:val="20"/>
                <w:lang w:eastAsia="en-US"/>
              </w:rPr>
            </w:pPr>
            <w:r w:rsidRPr="00AE4FA0">
              <w:rPr>
                <w:rFonts w:eastAsia="Times New Roman"/>
                <w:b/>
                <w:bCs/>
                <w:i/>
                <w:iCs/>
                <w:color w:val="0B1F51"/>
                <w:sz w:val="20"/>
                <w:szCs w:val="20"/>
                <w:lang w:eastAsia="en-US"/>
              </w:rPr>
              <w:t>Overall</w:t>
            </w:r>
          </w:p>
        </w:tc>
        <w:tc>
          <w:tcPr>
            <w:tcW w:w="1350" w:type="dxa"/>
            <w:shd w:val="clear" w:color="000000" w:fill="DBE4ED"/>
            <w:noWrap/>
            <w:vAlign w:val="center"/>
          </w:tcPr>
          <w:p w14:paraId="46C7C385" w14:textId="77777777" w:rsidR="00CB5120" w:rsidRPr="00AE4FA0" w:rsidRDefault="00CB5120" w:rsidP="00AE4FA0">
            <w:pPr>
              <w:spacing w:after="0" w:line="240" w:lineRule="auto"/>
              <w:jc w:val="center"/>
              <w:rPr>
                <w:rFonts w:asciiTheme="minorBidi" w:hAnsiTheme="minorBidi" w:cstheme="minorBidi"/>
                <w:b/>
                <w:bCs/>
                <w:i/>
                <w:iCs/>
                <w:color w:val="000000"/>
                <w:sz w:val="20"/>
                <w:szCs w:val="20"/>
              </w:rPr>
            </w:pPr>
            <w:r w:rsidRPr="00AE4FA0">
              <w:rPr>
                <w:rFonts w:asciiTheme="minorBidi" w:hAnsiTheme="minorBidi" w:cstheme="minorBidi"/>
                <w:b/>
                <w:bCs/>
                <w:i/>
                <w:iCs/>
                <w:color w:val="000000"/>
                <w:sz w:val="20"/>
                <w:szCs w:val="20"/>
              </w:rPr>
              <w:t>541</w:t>
            </w:r>
          </w:p>
        </w:tc>
        <w:tc>
          <w:tcPr>
            <w:tcW w:w="1350" w:type="dxa"/>
            <w:shd w:val="clear" w:color="000000" w:fill="DBE4ED"/>
            <w:noWrap/>
            <w:vAlign w:val="center"/>
          </w:tcPr>
          <w:p w14:paraId="78A4981C" w14:textId="77777777" w:rsidR="00CB5120" w:rsidRPr="00AE4FA0" w:rsidRDefault="00CB5120" w:rsidP="00AE4FA0">
            <w:pPr>
              <w:spacing w:after="0" w:line="240" w:lineRule="auto"/>
              <w:jc w:val="center"/>
              <w:rPr>
                <w:rFonts w:asciiTheme="minorBidi" w:hAnsiTheme="minorBidi" w:cstheme="minorBidi"/>
                <w:b/>
                <w:bCs/>
                <w:i/>
                <w:iCs/>
                <w:color w:val="000000"/>
                <w:sz w:val="20"/>
                <w:szCs w:val="20"/>
              </w:rPr>
            </w:pPr>
            <w:r w:rsidRPr="00AE4FA0">
              <w:rPr>
                <w:rFonts w:asciiTheme="minorBidi" w:hAnsiTheme="minorBidi" w:cstheme="minorBidi"/>
                <w:b/>
                <w:bCs/>
                <w:i/>
                <w:iCs/>
                <w:color w:val="000000"/>
                <w:sz w:val="20"/>
                <w:szCs w:val="20"/>
              </w:rPr>
              <w:t>14,715</w:t>
            </w:r>
          </w:p>
        </w:tc>
        <w:tc>
          <w:tcPr>
            <w:tcW w:w="1170" w:type="dxa"/>
            <w:shd w:val="clear" w:color="000000" w:fill="DBE4ED"/>
            <w:noWrap/>
            <w:vAlign w:val="center"/>
          </w:tcPr>
          <w:p w14:paraId="5D6C5F5C" w14:textId="77777777" w:rsidR="00CB5120" w:rsidRPr="00AE4FA0" w:rsidRDefault="00CB5120" w:rsidP="00AE4FA0">
            <w:pPr>
              <w:spacing w:after="0" w:line="240" w:lineRule="auto"/>
              <w:jc w:val="center"/>
              <w:rPr>
                <w:rFonts w:asciiTheme="minorBidi" w:hAnsiTheme="minorBidi" w:cstheme="minorBidi"/>
                <w:b/>
                <w:bCs/>
                <w:i/>
                <w:iCs/>
                <w:color w:val="000000"/>
                <w:sz w:val="20"/>
                <w:szCs w:val="20"/>
              </w:rPr>
            </w:pPr>
            <w:r w:rsidRPr="00AE4FA0">
              <w:rPr>
                <w:rFonts w:asciiTheme="minorBidi" w:hAnsiTheme="minorBidi" w:cstheme="minorBidi"/>
                <w:b/>
                <w:bCs/>
                <w:i/>
                <w:iCs/>
                <w:color w:val="000000"/>
                <w:sz w:val="20"/>
                <w:szCs w:val="20"/>
              </w:rPr>
              <w:t>827</w:t>
            </w:r>
          </w:p>
        </w:tc>
        <w:tc>
          <w:tcPr>
            <w:tcW w:w="1170" w:type="dxa"/>
            <w:shd w:val="clear" w:color="000000" w:fill="DBE4ED"/>
            <w:vAlign w:val="center"/>
          </w:tcPr>
          <w:p w14:paraId="2193298F" w14:textId="77777777" w:rsidR="00CB5120" w:rsidRPr="00AE4FA0" w:rsidRDefault="00CB5120" w:rsidP="00AE4FA0">
            <w:pPr>
              <w:spacing w:after="0" w:line="240" w:lineRule="auto"/>
              <w:jc w:val="center"/>
              <w:rPr>
                <w:rFonts w:asciiTheme="minorBidi" w:hAnsiTheme="minorBidi" w:cstheme="minorBidi"/>
                <w:b/>
                <w:bCs/>
                <w:i/>
                <w:iCs/>
                <w:color w:val="000000"/>
                <w:sz w:val="20"/>
                <w:szCs w:val="20"/>
              </w:rPr>
            </w:pPr>
            <w:r w:rsidRPr="00AE4FA0">
              <w:rPr>
                <w:rFonts w:asciiTheme="minorBidi" w:hAnsiTheme="minorBidi" w:cstheme="minorBidi"/>
                <w:b/>
                <w:bCs/>
                <w:i/>
                <w:iCs/>
                <w:color w:val="000000"/>
                <w:sz w:val="20"/>
                <w:szCs w:val="20"/>
              </w:rPr>
              <w:t>40,000</w:t>
            </w:r>
          </w:p>
        </w:tc>
        <w:tc>
          <w:tcPr>
            <w:tcW w:w="1710" w:type="dxa"/>
            <w:shd w:val="clear" w:color="000000" w:fill="DBE4ED"/>
            <w:noWrap/>
            <w:vAlign w:val="center"/>
          </w:tcPr>
          <w:p w14:paraId="25AE2453" w14:textId="77777777" w:rsidR="00CB5120" w:rsidRPr="00AE4FA0" w:rsidRDefault="00CB5120" w:rsidP="00AE4FA0">
            <w:pPr>
              <w:spacing w:after="0" w:line="240" w:lineRule="auto"/>
              <w:jc w:val="center"/>
              <w:rPr>
                <w:rFonts w:asciiTheme="minorBidi" w:hAnsiTheme="minorBidi" w:cstheme="minorBidi"/>
                <w:b/>
                <w:bCs/>
                <w:i/>
                <w:iCs/>
                <w:color w:val="000000"/>
                <w:sz w:val="20"/>
                <w:szCs w:val="20"/>
              </w:rPr>
            </w:pPr>
            <w:r w:rsidRPr="00AE4FA0">
              <w:rPr>
                <w:rFonts w:asciiTheme="minorBidi" w:hAnsiTheme="minorBidi" w:cstheme="minorBidi"/>
                <w:b/>
                <w:bCs/>
                <w:i/>
                <w:iCs/>
                <w:color w:val="000000"/>
                <w:sz w:val="20"/>
                <w:szCs w:val="20"/>
              </w:rPr>
              <w:t>7,960,718</w:t>
            </w:r>
          </w:p>
        </w:tc>
      </w:tr>
    </w:tbl>
    <w:p w14:paraId="2423BBC0" w14:textId="459B0580" w:rsidR="005F5304" w:rsidRDefault="005F5304" w:rsidP="005F5304">
      <w:pPr>
        <w:pStyle w:val="Caption"/>
      </w:pPr>
    </w:p>
    <w:p w14:paraId="672ECC39" w14:textId="1DB391D5" w:rsidR="00AE4FA0" w:rsidRPr="00AE4FA0" w:rsidRDefault="00AE4FA0" w:rsidP="00F74751">
      <w:pPr>
        <w:pStyle w:val="BodyText"/>
        <w:rPr>
          <w:lang w:eastAsia="en-US"/>
        </w:rPr>
      </w:pPr>
      <w:r>
        <w:rPr>
          <w:lang w:eastAsia="en-US"/>
        </w:rPr>
        <w:t xml:space="preserve">The highest average amount per admission is </w:t>
      </w:r>
      <w:r w:rsidR="00F74751">
        <w:rPr>
          <w:lang w:eastAsia="en-US"/>
        </w:rPr>
        <w:t xml:space="preserve">claimed by Combined Military Hospital, Gilgit </w:t>
      </w:r>
      <w:r w:rsidR="00F74751">
        <w:rPr>
          <w:lang w:eastAsia="en-US"/>
        </w:rPr>
        <w:t>(CMH)</w:t>
      </w:r>
      <w:r w:rsidR="00F74751">
        <w:rPr>
          <w:lang w:eastAsia="en-US"/>
        </w:rPr>
        <w:t xml:space="preserve"> and lowest by District Headquarters Hospital, Gilgit (DHQ).  Aga Khan Medical Centre, Gilgit (GMC) received the highest amount of PKR 5.36 million followed by City Hospital Gilgit that received PKR 1.22 million. </w:t>
      </w:r>
    </w:p>
    <w:p w14:paraId="3D68CCB8" w14:textId="0178A0E7" w:rsidR="00CB5120" w:rsidRDefault="00CB5120" w:rsidP="00CB5120">
      <w:pPr>
        <w:pStyle w:val="BodyText"/>
        <w:rPr>
          <w:lang w:eastAsia="en-US"/>
        </w:rPr>
      </w:pPr>
    </w:p>
    <w:p w14:paraId="0BC177B1" w14:textId="77777777" w:rsidR="00CB5120" w:rsidRPr="00CB5120" w:rsidRDefault="00CB5120" w:rsidP="00CB5120">
      <w:pPr>
        <w:pStyle w:val="BodyText"/>
        <w:rPr>
          <w:lang w:eastAsia="en-US"/>
        </w:rPr>
        <w:sectPr w:rsidR="00CB5120" w:rsidRPr="00CB5120" w:rsidSect="00DA369A">
          <w:footerReference w:type="default" r:id="rId21"/>
          <w:pgSz w:w="11900" w:h="16840" w:code="9"/>
          <w:pgMar w:top="1440" w:right="1440" w:bottom="1440" w:left="1440" w:header="720" w:footer="720" w:gutter="0"/>
          <w:cols w:space="720"/>
          <w:docGrid w:linePitch="360"/>
        </w:sectPr>
      </w:pPr>
    </w:p>
    <w:p w14:paraId="09E682AE" w14:textId="77777777" w:rsidR="005F5304" w:rsidRPr="003506E5" w:rsidRDefault="005F5304" w:rsidP="005F5304">
      <w:pPr>
        <w:pStyle w:val="Heading1"/>
      </w:pPr>
      <w:bookmarkStart w:id="59" w:name="_Toc57215296"/>
      <w:bookmarkStart w:id="60" w:name="_Hlk61837637"/>
      <w:r w:rsidRPr="003506E5">
        <w:lastRenderedPageBreak/>
        <w:t>Other Matters</w:t>
      </w:r>
      <w:r w:rsidR="00846A29" w:rsidRPr="003506E5">
        <w:t xml:space="preserve"> within the SHPI Phase I Project</w:t>
      </w:r>
      <w:bookmarkEnd w:id="59"/>
    </w:p>
    <w:p w14:paraId="33EA45DB" w14:textId="77777777" w:rsidR="008C02E2" w:rsidRPr="003506E5" w:rsidRDefault="001D3581" w:rsidP="008C02E2">
      <w:pPr>
        <w:pStyle w:val="Heading20"/>
      </w:pPr>
      <w:bookmarkStart w:id="61" w:name="_Toc57215297"/>
      <w:bookmarkEnd w:id="60"/>
      <w:r w:rsidRPr="003506E5">
        <w:t>Gilgit Baltistan</w:t>
      </w:r>
      <w:bookmarkEnd w:id="61"/>
    </w:p>
    <w:p w14:paraId="3D86ACD0" w14:textId="77777777" w:rsidR="00846A29" w:rsidRPr="003506E5" w:rsidRDefault="005F5304" w:rsidP="001D3581">
      <w:pPr>
        <w:pStyle w:val="Heading3"/>
      </w:pPr>
      <w:bookmarkStart w:id="62" w:name="_Toc57215298"/>
      <w:r w:rsidRPr="003506E5">
        <w:t>Cards Distribution</w:t>
      </w:r>
      <w:bookmarkEnd w:id="62"/>
    </w:p>
    <w:p w14:paraId="72A081A0" w14:textId="77777777" w:rsidR="005F5304" w:rsidRPr="003506E5" w:rsidRDefault="005F5304" w:rsidP="00846A29">
      <w:pPr>
        <w:pStyle w:val="Heading4"/>
      </w:pPr>
      <w:r w:rsidRPr="003506E5">
        <w:t>Cashless Cards Distribution Status</w:t>
      </w:r>
    </w:p>
    <w:p w14:paraId="1299BDB4" w14:textId="3B5576B4" w:rsidR="005F5304" w:rsidRPr="003506E5" w:rsidRDefault="005F5304" w:rsidP="00F74751">
      <w:pPr>
        <w:pStyle w:val="BodyText"/>
      </w:pPr>
      <w:r w:rsidRPr="003506E5">
        <w:t>Total 5</w:t>
      </w:r>
      <w:r w:rsidR="00B9515E" w:rsidRPr="003506E5">
        <w:t>340</w:t>
      </w:r>
      <w:r w:rsidRPr="003506E5">
        <w:t xml:space="preserve"> cashless cards were distributed</w:t>
      </w:r>
      <w:r w:rsidR="00B9515E" w:rsidRPr="003506E5">
        <w:t xml:space="preserve"> in 2020, and</w:t>
      </w:r>
      <w:r w:rsidRPr="003506E5">
        <w:t xml:space="preserve"> during </w:t>
      </w:r>
      <w:r w:rsidR="00B9515E" w:rsidRPr="003506E5">
        <w:t xml:space="preserve">reporting period 138 cards were </w:t>
      </w:r>
      <w:r w:rsidR="00E06F02" w:rsidRPr="003506E5">
        <w:t>distributed. As</w:t>
      </w:r>
      <w:r w:rsidR="00B9515E" w:rsidRPr="003506E5">
        <w:t xml:space="preserve"> per target 100% cash less cards ha</w:t>
      </w:r>
      <w:r w:rsidR="00F74751">
        <w:t>ve</w:t>
      </w:r>
      <w:r w:rsidR="00B9515E" w:rsidRPr="003506E5">
        <w:t xml:space="preserve"> been distributed.</w:t>
      </w:r>
    </w:p>
    <w:p w14:paraId="2F0F6F7E" w14:textId="77777777" w:rsidR="005F5304" w:rsidRPr="003506E5" w:rsidRDefault="005F5304" w:rsidP="00846A29">
      <w:pPr>
        <w:pStyle w:val="Heading4"/>
      </w:pPr>
      <w:r w:rsidRPr="003506E5">
        <w:t xml:space="preserve">Wider Enrolment </w:t>
      </w:r>
    </w:p>
    <w:p w14:paraId="7E350B16" w14:textId="02F54E42" w:rsidR="005F5304" w:rsidRPr="003506E5" w:rsidRDefault="005F5304" w:rsidP="005F5304">
      <w:pPr>
        <w:pStyle w:val="BodyText"/>
      </w:pPr>
      <w:r w:rsidRPr="003506E5">
        <w:t xml:space="preserve">During the reporting period, </w:t>
      </w:r>
      <w:r w:rsidR="00E06F02" w:rsidRPr="003506E5">
        <w:t>600</w:t>
      </w:r>
      <w:r w:rsidRPr="003506E5">
        <w:t xml:space="preserve"> new household were successfully enrolled with their willingness to purchase the health product of Jubilee Health Insurance Scheme. In addition, 11</w:t>
      </w:r>
      <w:r w:rsidR="00E06F02" w:rsidRPr="003506E5">
        <w:t xml:space="preserve">4 </w:t>
      </w:r>
      <w:r w:rsidRPr="003506E5">
        <w:t>families renewed their health insurance. Overall, 97% cards have been distributed through different LSO’s and WO’s.</w:t>
      </w:r>
    </w:p>
    <w:p w14:paraId="53F754C9" w14:textId="62090856" w:rsidR="005F5304" w:rsidRPr="003506E5" w:rsidRDefault="005F5304" w:rsidP="00F74751">
      <w:pPr>
        <w:pStyle w:val="BodyText"/>
      </w:pPr>
      <w:r w:rsidRPr="003506E5">
        <w:t xml:space="preserve">During the reporting period only </w:t>
      </w:r>
      <w:r w:rsidR="00E06F02" w:rsidRPr="003506E5">
        <w:t>3</w:t>
      </w:r>
      <w:r w:rsidRPr="003506E5">
        <w:t xml:space="preserve"> awareness sessions/meeting could be conducted in two union councils Gilgit and Daniyore and a total of </w:t>
      </w:r>
      <w:r w:rsidR="00E06F02" w:rsidRPr="003506E5">
        <w:t>40</w:t>
      </w:r>
      <w:r w:rsidRPr="003506E5">
        <w:t xml:space="preserve"> people (</w:t>
      </w:r>
      <w:r w:rsidR="00E06F02" w:rsidRPr="003506E5">
        <w:t>10</w:t>
      </w:r>
      <w:r w:rsidRPr="003506E5">
        <w:t xml:space="preserve"> male and </w:t>
      </w:r>
      <w:r w:rsidR="00E06F02" w:rsidRPr="003506E5">
        <w:t>30</w:t>
      </w:r>
      <w:r w:rsidRPr="003506E5">
        <w:t xml:space="preserve"> female) participated in these sessions. Wider enrolment campaigns were badly affected</w:t>
      </w:r>
      <w:r w:rsidR="00F74751">
        <w:t>. All</w:t>
      </w:r>
      <w:r w:rsidRPr="003506E5">
        <w:t xml:space="preserve"> kind</w:t>
      </w:r>
      <w:r w:rsidR="00F74751">
        <w:t>s</w:t>
      </w:r>
      <w:r w:rsidRPr="003506E5">
        <w:t xml:space="preserve"> of planned awareness raising activities such as meeting with LSOs/WOs, medical camps, experience sharing sessions with targeted communities were completely stopped due to restricted movement within the district during the COVID-19 pandemic. </w:t>
      </w:r>
    </w:p>
    <w:p w14:paraId="630C2310" w14:textId="67B1E9FE" w:rsidR="002A7C53" w:rsidRPr="00F74751" w:rsidRDefault="002A7C53" w:rsidP="00F74751">
      <w:pPr>
        <w:spacing w:after="0" w:line="240" w:lineRule="auto"/>
        <w:rPr>
          <w:rFonts w:eastAsia="Times New Roman" w:cs="Times New Roman"/>
          <w:b/>
          <w:bCs/>
          <w:color w:val="0B1F51"/>
          <w:kern w:val="32"/>
          <w:sz w:val="28"/>
          <w:szCs w:val="28"/>
        </w:rPr>
      </w:pPr>
    </w:p>
    <w:sectPr w:rsidR="002A7C53" w:rsidRPr="00F74751" w:rsidSect="00D4783C">
      <w:footerReference w:type="default" r:id="rId22"/>
      <w:pgSz w:w="11907" w:h="16839"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8914" w16cex:dateUtc="2021-02-01T09: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FEA63F" w16cid:durableId="23C287DC"/>
  <w16cid:commentId w16cid:paraId="0064BF8A" w16cid:durableId="23C287DD"/>
  <w16cid:commentId w16cid:paraId="5914B5AA" w16cid:durableId="23C289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54C5F" w14:textId="77777777" w:rsidR="002521F6" w:rsidRDefault="002521F6" w:rsidP="000E1429">
      <w:r>
        <w:separator/>
      </w:r>
    </w:p>
  </w:endnote>
  <w:endnote w:type="continuationSeparator" w:id="0">
    <w:p w14:paraId="38F002E7" w14:textId="77777777" w:rsidR="002521F6" w:rsidRDefault="002521F6" w:rsidP="000E1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ont207">
    <w:altName w:val="Times New Roman"/>
    <w:charset w:val="00"/>
    <w:family w:val="auto"/>
    <w:pitch w:val="default"/>
    <w:sig w:usb0="0000003C"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Roboto">
    <w:altName w:val="Arial"/>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Noto Sans Myanmar">
    <w:altName w:val="Calibri"/>
    <w:charset w:val="00"/>
    <w:family w:val="auto"/>
    <w:pitch w:val="variable"/>
    <w:sig w:usb0="00000001" w:usb1="4000207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NewRoman">
    <w:altName w:val="Times New Roman"/>
    <w:panose1 w:val="00000000000000000000"/>
    <w:charset w:val="00"/>
    <w:family w:val="roman"/>
    <w:notTrueType/>
    <w:pitch w:val="default"/>
  </w:font>
  <w:font w:name="Calisto MT">
    <w:panose1 w:val="0204060305050503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A3075" w14:textId="77777777" w:rsidR="00351CC2" w:rsidRDefault="00351CC2" w:rsidP="000E1429">
    <w:p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75</w:t>
    </w:r>
    <w:r>
      <w:rPr>
        <w:rStyle w:val="PageNumber"/>
      </w:rPr>
      <w:fldChar w:fldCharType="end"/>
    </w:r>
  </w:p>
  <w:p w14:paraId="4511C229" w14:textId="77777777" w:rsidR="00351CC2" w:rsidRDefault="00351CC2" w:rsidP="000E1429">
    <w:p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75</w:t>
    </w:r>
    <w:r>
      <w:rPr>
        <w:rStyle w:val="PageNumber"/>
      </w:rPr>
      <w:fldChar w:fldCharType="end"/>
    </w:r>
  </w:p>
  <w:p w14:paraId="55526793" w14:textId="77777777" w:rsidR="00351CC2" w:rsidRDefault="00351CC2" w:rsidP="000E142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BDCAF" w14:textId="77777777" w:rsidR="00351CC2" w:rsidRDefault="00351CC2" w:rsidP="00530E2E">
    <w:pPr>
      <w:pStyle w:val="Footer"/>
    </w:pPr>
    <w:r>
      <w:rPr>
        <w:noProof/>
        <w:lang w:val="en-US" w:eastAsia="en-US"/>
      </w:rPr>
      <w:drawing>
        <wp:anchor distT="0" distB="0" distL="114300" distR="114300" simplePos="0" relativeHeight="251672576" behindDoc="0" locked="0" layoutInCell="1" allowOverlap="1" wp14:anchorId="4FF700F6" wp14:editId="51ECCAD6">
          <wp:simplePos x="0" y="0"/>
          <wp:positionH relativeFrom="column">
            <wp:posOffset>1092835</wp:posOffset>
          </wp:positionH>
          <wp:positionV relativeFrom="paragraph">
            <wp:posOffset>-1232535</wp:posOffset>
          </wp:positionV>
          <wp:extent cx="2726055" cy="85217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m%20client/Archive/OPMJ5637-Report-cover-template/Links/OPM-Core-Logo-Reversed-CMYK-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26055" cy="852170"/>
                  </a:xfrm>
                  <a:prstGeom prst="rect">
                    <a:avLst/>
                  </a:prstGeom>
                  <a:noFill/>
                  <a:ln>
                    <a:noFill/>
                  </a:ln>
                </pic:spPr>
              </pic:pic>
            </a:graphicData>
          </a:graphic>
        </wp:anchor>
      </w:drawing>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9C308" w14:textId="77777777" w:rsidR="00351CC2" w:rsidRPr="00475405" w:rsidRDefault="00351CC2" w:rsidP="00530E2E">
    <w:pPr>
      <w:pStyle w:val="Footer"/>
    </w:pPr>
    <w:r>
      <w:rPr>
        <w:noProof/>
        <w:lang w:val="en-US" w:eastAsia="en-US"/>
      </w:rPr>
      <mc:AlternateContent>
        <mc:Choice Requires="wps">
          <w:drawing>
            <wp:anchor distT="0" distB="0" distL="114300" distR="114300" simplePos="0" relativeHeight="251676672" behindDoc="0" locked="0" layoutInCell="1" allowOverlap="1" wp14:anchorId="042E5C0C" wp14:editId="018DE5D8">
              <wp:simplePos x="0" y="0"/>
              <wp:positionH relativeFrom="column">
                <wp:posOffset>0</wp:posOffset>
              </wp:positionH>
              <wp:positionV relativeFrom="paragraph">
                <wp:posOffset>-2756535</wp:posOffset>
              </wp:positionV>
              <wp:extent cx="2158365" cy="2470150"/>
              <wp:effectExtent l="0" t="0" r="13335" b="635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8365" cy="247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4A397" w14:textId="77777777" w:rsidR="00351CC2" w:rsidRPr="000E1429" w:rsidRDefault="00351CC2" w:rsidP="00530E2E">
                          <w:pPr>
                            <w:pStyle w:val="Contacts"/>
                          </w:pPr>
                          <w:r w:rsidRPr="000E1429">
                            <w:t>Oxford Policy Management Limited</w:t>
                          </w:r>
                        </w:p>
                        <w:p w14:paraId="7194A4E1" w14:textId="77777777" w:rsidR="00351CC2" w:rsidRPr="000E1429" w:rsidRDefault="00351CC2" w:rsidP="00530E2E">
                          <w:pPr>
                            <w:pStyle w:val="Contacts"/>
                          </w:pPr>
                          <w:r w:rsidRPr="000E1429">
                            <w:t>Registered in England: 3122495</w:t>
                          </w:r>
                        </w:p>
                        <w:p w14:paraId="6E864173" w14:textId="77777777" w:rsidR="00351CC2" w:rsidRPr="000E1429" w:rsidRDefault="00351CC2" w:rsidP="00530E2E">
                          <w:pPr>
                            <w:pStyle w:val="Contacts"/>
                          </w:pPr>
                        </w:p>
                        <w:p w14:paraId="2F89C068" w14:textId="77777777" w:rsidR="00351CC2" w:rsidRPr="000E1429" w:rsidRDefault="00351CC2" w:rsidP="00530E2E">
                          <w:pPr>
                            <w:pStyle w:val="Contacts"/>
                          </w:pPr>
                          <w:r w:rsidRPr="000E1429">
                            <w:t>Level 3, Clarendon House</w:t>
                          </w:r>
                        </w:p>
                        <w:p w14:paraId="52A71159" w14:textId="77777777" w:rsidR="00351CC2" w:rsidRPr="000E1429" w:rsidRDefault="00351CC2" w:rsidP="00530E2E">
                          <w:pPr>
                            <w:pStyle w:val="Contacts"/>
                          </w:pPr>
                          <w:r w:rsidRPr="000E1429">
                            <w:t>52 Cornmarket Street</w:t>
                          </w:r>
                        </w:p>
                        <w:p w14:paraId="6E516CAE" w14:textId="77777777" w:rsidR="00351CC2" w:rsidRPr="00CB6CEC" w:rsidRDefault="00351CC2" w:rsidP="00530E2E">
                          <w:pPr>
                            <w:pStyle w:val="Contacts"/>
                          </w:pPr>
                          <w:r w:rsidRPr="000E1429">
                            <w:t xml:space="preserve">Oxford, </w:t>
                          </w:r>
                          <w:r w:rsidRPr="00CB6CEC">
                            <w:t>OX1 3HJ</w:t>
                          </w:r>
                        </w:p>
                        <w:p w14:paraId="44C337E3" w14:textId="77777777" w:rsidR="00351CC2" w:rsidRPr="000E1429" w:rsidRDefault="00351CC2" w:rsidP="00530E2E">
                          <w:pPr>
                            <w:pStyle w:val="Contacts"/>
                          </w:pPr>
                          <w:r w:rsidRPr="000E1429">
                            <w:t>United Kingdom</w:t>
                          </w:r>
                        </w:p>
                        <w:p w14:paraId="1043CFDE" w14:textId="77777777" w:rsidR="00351CC2" w:rsidRPr="000E1429" w:rsidRDefault="00351CC2" w:rsidP="00530E2E">
                          <w:pPr>
                            <w:pStyle w:val="Contacts"/>
                          </w:pPr>
                        </w:p>
                        <w:p w14:paraId="148A274E" w14:textId="77777777" w:rsidR="00351CC2" w:rsidRPr="000E1429" w:rsidRDefault="00351CC2" w:rsidP="00530E2E">
                          <w:pPr>
                            <w:pStyle w:val="Contacts"/>
                          </w:pPr>
                          <w:r w:rsidRPr="000E1429">
                            <w:t>Tel</w:t>
                          </w:r>
                          <w:r>
                            <w:t>:</w:t>
                          </w:r>
                          <w:r w:rsidRPr="000E1429">
                            <w:t xml:space="preserve"> +44 (0) 1865 207 300</w:t>
                          </w:r>
                        </w:p>
                        <w:p w14:paraId="1312A2E5" w14:textId="77777777" w:rsidR="00351CC2" w:rsidRPr="000E1429" w:rsidRDefault="00351CC2" w:rsidP="00530E2E">
                          <w:pPr>
                            <w:pStyle w:val="Contacts"/>
                          </w:pPr>
                          <w:r w:rsidRPr="000E1429">
                            <w:t>Fax</w:t>
                          </w:r>
                          <w:r>
                            <w:t>:</w:t>
                          </w:r>
                          <w:r w:rsidRPr="000E1429">
                            <w:t xml:space="preserve"> +44 (0) 1865 207 301</w:t>
                          </w:r>
                        </w:p>
                        <w:p w14:paraId="4CFFF093" w14:textId="77777777" w:rsidR="00351CC2" w:rsidRPr="000E1429" w:rsidRDefault="00351CC2" w:rsidP="00530E2E">
                          <w:pPr>
                            <w:pStyle w:val="Contacts"/>
                          </w:pPr>
                          <w:r w:rsidRPr="000E1429">
                            <w:t>Email</w:t>
                          </w:r>
                          <w:r>
                            <w:t>:</w:t>
                          </w:r>
                          <w:r w:rsidRPr="000E1429">
                            <w:t xml:space="preserve"> admin@opml.co.uk</w:t>
                          </w:r>
                        </w:p>
                        <w:p w14:paraId="11BD18E3" w14:textId="77777777" w:rsidR="00351CC2" w:rsidRDefault="00351CC2" w:rsidP="00530E2E">
                          <w:pPr>
                            <w:pStyle w:val="Contacts"/>
                          </w:pPr>
                          <w:r w:rsidRPr="000E1429">
                            <w:t>Website</w:t>
                          </w:r>
                          <w:r>
                            <w:t>:</w:t>
                          </w:r>
                          <w:hyperlink r:id="rId1" w:history="1">
                            <w:r w:rsidRPr="0041229D">
                              <w:rPr>
                                <w:rStyle w:val="Hyperlink"/>
                              </w:rPr>
                              <w:t>www.opml.co.uk</w:t>
                            </w:r>
                          </w:hyperlink>
                        </w:p>
                        <w:p w14:paraId="1E707C02" w14:textId="77777777" w:rsidR="00351CC2" w:rsidRPr="000E1429" w:rsidRDefault="00351CC2" w:rsidP="00530E2E">
                          <w:pPr>
                            <w:pStyle w:val="Contacts"/>
                          </w:pPr>
                          <w:r>
                            <w:t xml:space="preserve">Twitter: </w:t>
                          </w:r>
                          <w:hyperlink r:id="rId2" w:history="1">
                            <w:r w:rsidRPr="006E0269">
                              <w:rPr>
                                <w:rStyle w:val="Hyperlink"/>
                              </w:rPr>
                              <w:t>@OPMglobal</w:t>
                            </w:r>
                          </w:hyperlink>
                        </w:p>
                        <w:p w14:paraId="5C520D66" w14:textId="77777777" w:rsidR="00351CC2" w:rsidRDefault="00351CC2" w:rsidP="00530E2E">
                          <w:pPr>
                            <w:pStyle w:val="Contacts"/>
                          </w:pPr>
                          <w:r>
                            <w:t xml:space="preserve">Facebook: </w:t>
                          </w:r>
                          <w:hyperlink r:id="rId3" w:history="1">
                            <w:r w:rsidRPr="006E0269">
                              <w:rPr>
                                <w:rStyle w:val="Hyperlink"/>
                              </w:rPr>
                              <w:t>@OPMglobal</w:t>
                            </w:r>
                          </w:hyperlink>
                        </w:p>
                        <w:p w14:paraId="52D8F67E" w14:textId="77777777" w:rsidR="00351CC2" w:rsidRDefault="00351CC2" w:rsidP="00530E2E">
                          <w:pPr>
                            <w:pStyle w:val="Contacts"/>
                          </w:pPr>
                          <w:r>
                            <w:t xml:space="preserve">YouTube: </w:t>
                          </w:r>
                          <w:hyperlink r:id="rId4" w:history="1">
                            <w:r w:rsidRPr="006E0269">
                              <w:rPr>
                                <w:rStyle w:val="Hyperlink"/>
                              </w:rPr>
                              <w:t>@OPMglobal</w:t>
                            </w:r>
                          </w:hyperlink>
                        </w:p>
                        <w:p w14:paraId="687523F3" w14:textId="77777777" w:rsidR="00351CC2" w:rsidRPr="000E1429" w:rsidRDefault="00351CC2" w:rsidP="00530E2E">
                          <w:pPr>
                            <w:pStyle w:val="Contacts"/>
                          </w:pPr>
                          <w:r>
                            <w:t xml:space="preserve">LinkedIn: </w:t>
                          </w:r>
                          <w:hyperlink r:id="rId5" w:history="1">
                            <w:r w:rsidRPr="00DF1A6A">
                              <w:rPr>
                                <w:rStyle w:val="Hyperlink"/>
                              </w:rPr>
                              <w:t>@OPMglobal</w:t>
                            </w:r>
                          </w:hyperlink>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2E5C0C" id="_x0000_t202" coordsize="21600,21600" o:spt="202" path="m,l,21600r21600,l21600,xe">
              <v:stroke joinstyle="miter"/>
              <v:path gradientshapeok="t" o:connecttype="rect"/>
            </v:shapetype>
            <v:shape id="Text Box 11" o:spid="_x0000_s1026" type="#_x0000_t202" style="position:absolute;left:0;text-align:left;margin-left:0;margin-top:-217.05pt;width:169.95pt;height:19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" filled="f" stroked="f">
              <v:path arrowok="t"/>
              <v:textbox inset="0,0,0,0">
                <w:txbxContent>
                  <w:p w14:paraId="4DD4A397" w14:textId="77777777" w:rsidR="00351CC2" w:rsidRPr="000E1429" w:rsidRDefault="00351CC2" w:rsidP="00530E2E">
                    <w:pPr>
                      <w:pStyle w:val="Contacts"/>
                    </w:pPr>
                    <w:r w:rsidRPr="000E1429">
                      <w:t>Oxford Policy Management Limited</w:t>
                    </w:r>
                  </w:p>
                  <w:p w14:paraId="7194A4E1" w14:textId="77777777" w:rsidR="00351CC2" w:rsidRPr="000E1429" w:rsidRDefault="00351CC2" w:rsidP="00530E2E">
                    <w:pPr>
                      <w:pStyle w:val="Contacts"/>
                    </w:pPr>
                    <w:r w:rsidRPr="000E1429">
                      <w:t>Registered in England: 3122495</w:t>
                    </w:r>
                  </w:p>
                  <w:p w14:paraId="6E864173" w14:textId="77777777" w:rsidR="00351CC2" w:rsidRPr="000E1429" w:rsidRDefault="00351CC2" w:rsidP="00530E2E">
                    <w:pPr>
                      <w:pStyle w:val="Contacts"/>
                    </w:pPr>
                  </w:p>
                  <w:p w14:paraId="2F89C068" w14:textId="77777777" w:rsidR="00351CC2" w:rsidRPr="000E1429" w:rsidRDefault="00351CC2" w:rsidP="00530E2E">
                    <w:pPr>
                      <w:pStyle w:val="Contacts"/>
                    </w:pPr>
                    <w:r w:rsidRPr="000E1429">
                      <w:t>Level 3, Clarendon House</w:t>
                    </w:r>
                  </w:p>
                  <w:p w14:paraId="52A71159" w14:textId="77777777" w:rsidR="00351CC2" w:rsidRPr="000E1429" w:rsidRDefault="00351CC2" w:rsidP="00530E2E">
                    <w:pPr>
                      <w:pStyle w:val="Contacts"/>
                    </w:pPr>
                    <w:r w:rsidRPr="000E1429">
                      <w:t>52 Cornmarket Street</w:t>
                    </w:r>
                  </w:p>
                  <w:p w14:paraId="6E516CAE" w14:textId="77777777" w:rsidR="00351CC2" w:rsidRPr="00CB6CEC" w:rsidRDefault="00351CC2" w:rsidP="00530E2E">
                    <w:pPr>
                      <w:pStyle w:val="Contacts"/>
                    </w:pPr>
                    <w:r w:rsidRPr="000E1429">
                      <w:t xml:space="preserve">Oxford, </w:t>
                    </w:r>
                    <w:r w:rsidRPr="00CB6CEC">
                      <w:t>OX1 3HJ</w:t>
                    </w:r>
                  </w:p>
                  <w:p w14:paraId="44C337E3" w14:textId="77777777" w:rsidR="00351CC2" w:rsidRPr="000E1429" w:rsidRDefault="00351CC2" w:rsidP="00530E2E">
                    <w:pPr>
                      <w:pStyle w:val="Contacts"/>
                    </w:pPr>
                    <w:r w:rsidRPr="000E1429">
                      <w:t>United Kingdom</w:t>
                    </w:r>
                  </w:p>
                  <w:p w14:paraId="1043CFDE" w14:textId="77777777" w:rsidR="00351CC2" w:rsidRPr="000E1429" w:rsidRDefault="00351CC2" w:rsidP="00530E2E">
                    <w:pPr>
                      <w:pStyle w:val="Contacts"/>
                    </w:pPr>
                  </w:p>
                  <w:p w14:paraId="148A274E" w14:textId="77777777" w:rsidR="00351CC2" w:rsidRPr="000E1429" w:rsidRDefault="00351CC2" w:rsidP="00530E2E">
                    <w:pPr>
                      <w:pStyle w:val="Contacts"/>
                    </w:pPr>
                    <w:r w:rsidRPr="000E1429">
                      <w:t>Tel</w:t>
                    </w:r>
                    <w:r>
                      <w:t>:</w:t>
                    </w:r>
                    <w:r w:rsidRPr="000E1429">
                      <w:t xml:space="preserve"> +44 (0) 1865 207 300</w:t>
                    </w:r>
                  </w:p>
                  <w:p w14:paraId="1312A2E5" w14:textId="77777777" w:rsidR="00351CC2" w:rsidRPr="000E1429" w:rsidRDefault="00351CC2" w:rsidP="00530E2E">
                    <w:pPr>
                      <w:pStyle w:val="Contacts"/>
                    </w:pPr>
                    <w:r w:rsidRPr="000E1429">
                      <w:t>Fax</w:t>
                    </w:r>
                    <w:r>
                      <w:t>:</w:t>
                    </w:r>
                    <w:r w:rsidRPr="000E1429">
                      <w:t xml:space="preserve"> +44 (0) 1865 207 301</w:t>
                    </w:r>
                  </w:p>
                  <w:p w14:paraId="4CFFF093" w14:textId="77777777" w:rsidR="00351CC2" w:rsidRPr="000E1429" w:rsidRDefault="00351CC2" w:rsidP="00530E2E">
                    <w:pPr>
                      <w:pStyle w:val="Contacts"/>
                    </w:pPr>
                    <w:r w:rsidRPr="000E1429">
                      <w:t>Email</w:t>
                    </w:r>
                    <w:r>
                      <w:t>:</w:t>
                    </w:r>
                    <w:r w:rsidRPr="000E1429">
                      <w:t xml:space="preserve"> admin@opml.co.uk</w:t>
                    </w:r>
                  </w:p>
                  <w:p w14:paraId="11BD18E3" w14:textId="77777777" w:rsidR="00351CC2" w:rsidRDefault="00351CC2" w:rsidP="00530E2E">
                    <w:pPr>
                      <w:pStyle w:val="Contacts"/>
                    </w:pPr>
                    <w:r w:rsidRPr="000E1429">
                      <w:t>Website</w:t>
                    </w:r>
                    <w:r>
                      <w:t>:</w:t>
                    </w:r>
                    <w:hyperlink r:id="rId6" w:history="1">
                      <w:r w:rsidRPr="0041229D">
                        <w:rPr>
                          <w:rStyle w:val="Hyperlink"/>
                        </w:rPr>
                        <w:t>www.opml.co.uk</w:t>
                      </w:r>
                    </w:hyperlink>
                  </w:p>
                  <w:p w14:paraId="1E707C02" w14:textId="77777777" w:rsidR="00351CC2" w:rsidRPr="000E1429" w:rsidRDefault="00351CC2" w:rsidP="00530E2E">
                    <w:pPr>
                      <w:pStyle w:val="Contacts"/>
                    </w:pPr>
                    <w:r>
                      <w:t xml:space="preserve">Twitter: </w:t>
                    </w:r>
                    <w:hyperlink r:id="rId7" w:history="1">
                      <w:r w:rsidRPr="006E0269">
                        <w:rPr>
                          <w:rStyle w:val="Hyperlink"/>
                        </w:rPr>
                        <w:t>@OPMglobal</w:t>
                      </w:r>
                    </w:hyperlink>
                  </w:p>
                  <w:p w14:paraId="5C520D66" w14:textId="77777777" w:rsidR="00351CC2" w:rsidRDefault="00351CC2" w:rsidP="00530E2E">
                    <w:pPr>
                      <w:pStyle w:val="Contacts"/>
                    </w:pPr>
                    <w:r>
                      <w:t xml:space="preserve">Facebook: </w:t>
                    </w:r>
                    <w:hyperlink r:id="rId8" w:history="1">
                      <w:r w:rsidRPr="006E0269">
                        <w:rPr>
                          <w:rStyle w:val="Hyperlink"/>
                        </w:rPr>
                        <w:t>@OPMglobal</w:t>
                      </w:r>
                    </w:hyperlink>
                  </w:p>
                  <w:p w14:paraId="52D8F67E" w14:textId="77777777" w:rsidR="00351CC2" w:rsidRDefault="00351CC2" w:rsidP="00530E2E">
                    <w:pPr>
                      <w:pStyle w:val="Contacts"/>
                    </w:pPr>
                    <w:r>
                      <w:t xml:space="preserve">YouTube: </w:t>
                    </w:r>
                    <w:hyperlink r:id="rId9" w:history="1">
                      <w:r w:rsidRPr="006E0269">
                        <w:rPr>
                          <w:rStyle w:val="Hyperlink"/>
                        </w:rPr>
                        <w:t>@OPMglobal</w:t>
                      </w:r>
                    </w:hyperlink>
                  </w:p>
                  <w:p w14:paraId="687523F3" w14:textId="77777777" w:rsidR="00351CC2" w:rsidRPr="000E1429" w:rsidRDefault="00351CC2" w:rsidP="00530E2E">
                    <w:pPr>
                      <w:pStyle w:val="Contacts"/>
                    </w:pPr>
                    <w:r>
                      <w:t xml:space="preserve">LinkedIn: </w:t>
                    </w:r>
                    <w:hyperlink r:id="rId10" w:history="1">
                      <w:r w:rsidRPr="00DF1A6A">
                        <w:rPr>
                          <w:rStyle w:val="Hyperlink"/>
                        </w:rPr>
                        <w:t>@OPMglobal</w:t>
                      </w:r>
                    </w:hyperlink>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50AC6" w14:textId="77777777" w:rsidR="00351CC2" w:rsidRPr="00991A6A" w:rsidRDefault="00351CC2" w:rsidP="000E1429">
    <w:pPr>
      <w:rPr>
        <w:rStyle w:val="PageNumber"/>
      </w:rPr>
    </w:pPr>
    <w:r w:rsidRPr="00991A6A">
      <w:rPr>
        <w:rStyle w:val="PageNumber"/>
      </w:rPr>
      <w:fldChar w:fldCharType="begin"/>
    </w:r>
    <w:r w:rsidRPr="00991A6A">
      <w:rPr>
        <w:rStyle w:val="PageNumber"/>
      </w:rPr>
      <w:instrText xml:space="preserve">PAGE  </w:instrText>
    </w:r>
    <w:r w:rsidRPr="00991A6A">
      <w:rPr>
        <w:rStyle w:val="PageNumber"/>
      </w:rPr>
      <w:fldChar w:fldCharType="separate"/>
    </w:r>
    <w:r>
      <w:rPr>
        <w:rStyle w:val="PageNumber"/>
        <w:noProof/>
      </w:rPr>
      <w:t>75</w:t>
    </w:r>
    <w:r w:rsidRPr="00991A6A">
      <w:rPr>
        <w:rStyle w:val="PageNumber"/>
      </w:rPr>
      <w:fldChar w:fldCharType="end"/>
    </w:r>
  </w:p>
  <w:p w14:paraId="34BB229A" w14:textId="77777777" w:rsidR="00351CC2" w:rsidRPr="00991A6A" w:rsidRDefault="00351CC2" w:rsidP="000E1429">
    <w:r w:rsidRPr="00991A6A">
      <w:t>© Oxford</w:t>
    </w:r>
    <w:r>
      <w:t xml:space="preserve"> Policy Management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A69D7" w14:textId="6DCD014F" w:rsidR="00351CC2" w:rsidRDefault="00351CC2" w:rsidP="00DE3320">
    <w:pPr>
      <w:pStyle w:val="Footer"/>
      <w:pBdr>
        <w:top w:val="single" w:sz="4" w:space="1" w:color="auto"/>
      </w:pBdr>
    </w:pPr>
    <w:r w:rsidRPr="00475405">
      <w:t>© Oxford Policy Management</w:t>
    </w:r>
    <w:r>
      <w:ptab w:relativeTo="margin" w:alignment="right" w:leader="none"/>
    </w:r>
    <w:sdt>
      <w:sdtPr>
        <w:id w:val="-6530702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C76B8">
          <w:rPr>
            <w:noProof/>
          </w:rPr>
          <w:t>32</w:t>
        </w:r>
        <w:r>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9FE0" w14:textId="35865AC7" w:rsidR="00351CC2" w:rsidRPr="00475405" w:rsidRDefault="00351CC2" w:rsidP="00530E2E">
    <w:pPr>
      <w:pStyle w:val="Footer"/>
      <w:pBdr>
        <w:top w:val="single" w:sz="4" w:space="1" w:color="auto"/>
      </w:pBdr>
    </w:pPr>
    <w:r w:rsidRPr="00475405">
      <w:t>© Oxford Policy Management</w:t>
    </w:r>
    <w:r>
      <w:ptab w:relativeTo="margin" w:alignment="right" w:leader="none"/>
    </w:r>
    <w:sdt>
      <w:sdtPr>
        <w:id w:val="-18106233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C76B8">
          <w:rPr>
            <w:noProof/>
          </w:rPr>
          <w:t>33</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309A8" w14:textId="77777777" w:rsidR="002521F6" w:rsidRPr="0005501D" w:rsidRDefault="002521F6" w:rsidP="000E1429">
      <w:r>
        <w:separator/>
      </w:r>
    </w:p>
  </w:footnote>
  <w:footnote w:type="continuationSeparator" w:id="0">
    <w:p w14:paraId="0860407D" w14:textId="77777777" w:rsidR="002521F6" w:rsidRPr="0005501D" w:rsidRDefault="002521F6" w:rsidP="000E1429"/>
  </w:footnote>
  <w:footnote w:type="continuationNotice" w:id="1">
    <w:p w14:paraId="038F02D4" w14:textId="77777777" w:rsidR="002521F6" w:rsidRDefault="002521F6" w:rsidP="000E142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D6ACB" w14:textId="77777777" w:rsidR="00351CC2" w:rsidRPr="00240654" w:rsidRDefault="00351CC2" w:rsidP="000E1429">
    <w:r>
      <w:rPr>
        <w:noProof/>
        <w:lang w:val="en-US" w:eastAsia="en-US"/>
      </w:rPr>
      <mc:AlternateContent>
        <mc:Choice Requires="wps">
          <w:drawing>
            <wp:anchor distT="0" distB="0" distL="114300" distR="114300" simplePos="0" relativeHeight="251665408" behindDoc="0" locked="0" layoutInCell="1" allowOverlap="1" wp14:anchorId="03479C38" wp14:editId="6D40B6EE">
              <wp:simplePos x="0" y="0"/>
              <wp:positionH relativeFrom="column">
                <wp:posOffset>3810000</wp:posOffset>
              </wp:positionH>
              <wp:positionV relativeFrom="page">
                <wp:posOffset>1080135</wp:posOffset>
              </wp:positionV>
              <wp:extent cx="10795" cy="8430895"/>
              <wp:effectExtent l="0" t="0" r="27305" b="27305"/>
              <wp:wrapNone/>
              <wp:docPr id="14"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795" cy="8430895"/>
                      </a:xfrm>
                      <a:prstGeom prst="line">
                        <a:avLst/>
                      </a:prstGeom>
                      <a:noFill/>
                      <a:ln w="317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26259D" id="Straight Connector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00pt,85.05pt" to="300.85pt,7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" strokecolor="black [3213]" strokeweight=".25pt">
              <v:stroke joinstyle="miter"/>
              <o:lock v:ext="edit" shapetype="f"/>
              <w10:wrap anchory="page"/>
            </v:line>
          </w:pict>
        </mc:Fallback>
      </mc:AlternateContent>
    </w:r>
    <w:r>
      <w:rPr>
        <w:noProof/>
        <w:lang w:val="en-US" w:eastAsia="en-US"/>
      </w:rPr>
      <mc:AlternateContent>
        <mc:Choice Requires="wps">
          <w:drawing>
            <wp:anchor distT="0" distB="0" distL="114300" distR="114300" simplePos="0" relativeHeight="251664384" behindDoc="0" locked="0" layoutInCell="1" allowOverlap="1" wp14:anchorId="66B6B735" wp14:editId="0A9F48A5">
              <wp:simplePos x="0" y="0"/>
              <wp:positionH relativeFrom="column">
                <wp:posOffset>-152400</wp:posOffset>
              </wp:positionH>
              <wp:positionV relativeFrom="page">
                <wp:posOffset>1080135</wp:posOffset>
              </wp:positionV>
              <wp:extent cx="1270" cy="8430895"/>
              <wp:effectExtent l="0" t="0" r="36830" b="27305"/>
              <wp:wrapNone/>
              <wp:docPr id="13"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70" cy="8430895"/>
                      </a:xfrm>
                      <a:prstGeom prst="line">
                        <a:avLst/>
                      </a:prstGeom>
                      <a:noFill/>
                      <a:ln w="317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01B2D0" id="Straight Connector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2pt,85.05pt" to="-11.9pt,7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" strokecolor="black [3213]" strokeweight=".25pt">
              <v:stroke joinstyle="miter"/>
              <o:lock v:ext="edit" shapetype="f"/>
              <w10:wrap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F6B85" w14:textId="77777777" w:rsidR="00351CC2" w:rsidRDefault="00351CC2" w:rsidP="00791C67">
    <w:pPr>
      <w:pStyle w:val="Header"/>
      <w:pBdr>
        <w:bottom w:val="none" w:sz="0" w:space="0" w:color="auto"/>
      </w:pBdr>
    </w:pPr>
    <w:r>
      <w:rPr>
        <w:lang w:val="en-US" w:eastAsia="en-US"/>
      </w:rPr>
      <mc:AlternateContent>
        <mc:Choice Requires="wps">
          <w:drawing>
            <wp:anchor distT="0" distB="0" distL="114300" distR="114300" simplePos="0" relativeHeight="251671552" behindDoc="0" locked="0" layoutInCell="1" allowOverlap="1" wp14:anchorId="1BB293FF" wp14:editId="2CE45E00">
              <wp:simplePos x="0" y="0"/>
              <wp:positionH relativeFrom="column">
                <wp:posOffset>0</wp:posOffset>
              </wp:positionH>
              <wp:positionV relativeFrom="paragraph">
                <wp:posOffset>691515</wp:posOffset>
              </wp:positionV>
              <wp:extent cx="5654040" cy="5080"/>
              <wp:effectExtent l="19050" t="38100" r="41910" b="52070"/>
              <wp:wrapNone/>
              <wp:docPr id="10"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54040" cy="5080"/>
                      </a:xfrm>
                      <a:prstGeom prst="line">
                        <a:avLst/>
                      </a:prstGeom>
                      <a:noFill/>
                      <a:ln w="76200">
                        <a:solidFill>
                          <a:schemeClr val="tx2">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D8AB98" id="Straight Connector 1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4.45pt" to="445.2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" strokecolor="#0a1f50 [3215]" strokeweight="6pt">
              <v:stroke joinstyle="miter"/>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5AF3B" w14:textId="77777777" w:rsidR="00351CC2" w:rsidRPr="00475405" w:rsidRDefault="00351CC2" w:rsidP="00130945">
    <w:pPr>
      <w:pStyle w:val="Header"/>
    </w:pPr>
    <w:r w:rsidRPr="0009518C">
      <w:t>Social Health Protection Health Insurance Programme</w:t>
    </w:r>
    <w:r>
      <w:t xml:space="preserve"> – </w:t>
    </w:r>
    <w:r w:rsidRPr="0009518C">
      <w:t>Consulting Services for Programme Implementation, Pakistan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90F6F" w14:textId="77777777" w:rsidR="00351CC2" w:rsidRDefault="00351CC2" w:rsidP="000E1429">
    <w:r>
      <w:rPr>
        <w:noProof/>
        <w:lang w:val="en-US" w:eastAsia="en-US"/>
      </w:rPr>
      <w:drawing>
        <wp:anchor distT="0" distB="0" distL="114300" distR="114300" simplePos="0" relativeHeight="251662336" behindDoc="1" locked="0" layoutInCell="1" allowOverlap="1" wp14:anchorId="3BB74CC3" wp14:editId="02089EA6">
          <wp:simplePos x="0" y="0"/>
          <wp:positionH relativeFrom="page">
            <wp:posOffset>13970</wp:posOffset>
          </wp:positionH>
          <wp:positionV relativeFrom="page">
            <wp:posOffset>414215</wp:posOffset>
          </wp:positionV>
          <wp:extent cx="7559646" cy="10220960"/>
          <wp:effectExtent l="0" t="0" r="10160" b="0"/>
          <wp:wrapNone/>
          <wp:docPr id="1" name="Picture 1"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46" cy="10220960"/>
                  </a:xfrm>
                  <a:prstGeom prst="rect">
                    <a:avLst/>
                  </a:prstGeom>
                  <a:noFill/>
                  <a:ln>
                    <a:noFill/>
                  </a:ln>
                </pic:spPr>
              </pic:pic>
            </a:graphicData>
          </a:graphic>
        </wp:anchor>
      </w:drawing>
    </w:r>
    <w:r>
      <w:t>Document Title (double click to change)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979"/>
    <w:multiLevelType w:val="hybridMultilevel"/>
    <w:tmpl w:val="D1E82DE8"/>
    <w:lvl w:ilvl="0" w:tplc="6C567B12">
      <w:start w:val="1"/>
      <w:numFmt w:val="bullet"/>
      <w:pStyle w:val="CVRespb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AC5D0F"/>
    <w:multiLevelType w:val="hybridMultilevel"/>
    <w:tmpl w:val="B31A7640"/>
    <w:lvl w:ilvl="0" w:tplc="CECAC4B0">
      <w:start w:val="1"/>
      <w:numFmt w:val="lowerLetter"/>
      <w:pStyle w:val="ListNumbered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E91DF7"/>
    <w:multiLevelType w:val="hybridMultilevel"/>
    <w:tmpl w:val="92B0114E"/>
    <w:lvl w:ilvl="0" w:tplc="1D4418FA">
      <w:start w:val="1"/>
      <w:numFmt w:val="bullet"/>
      <w:pStyle w:val="Heading5"/>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637B6A"/>
    <w:multiLevelType w:val="hybridMultilevel"/>
    <w:tmpl w:val="EF066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C099E"/>
    <w:multiLevelType w:val="multilevel"/>
    <w:tmpl w:val="2D00D928"/>
    <w:styleLink w:val="ImportedStyle1"/>
    <w:lvl w:ilvl="0">
      <w:start w:val="1"/>
      <w:numFmt w:val="decimal"/>
      <w:lvlText w:val="%1."/>
      <w:lvlJc w:val="left"/>
      <w:pPr>
        <w:ind w:left="851" w:hanging="851"/>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851" w:hanging="851"/>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851" w:hanging="851"/>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851" w:hanging="85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851" w:hanging="851"/>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851" w:hanging="851"/>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851" w:hanging="851"/>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851" w:hanging="851"/>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851" w:hanging="851"/>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15A17889"/>
    <w:multiLevelType w:val="hybridMultilevel"/>
    <w:tmpl w:val="8E9C9B28"/>
    <w:lvl w:ilvl="0" w:tplc="1E3640D6">
      <w:start w:val="1"/>
      <w:numFmt w:val="bullet"/>
      <w:pStyle w:val="CVListsub-bullet"/>
      <w:lvlText w:val="­"/>
      <w:lvlJc w:val="left"/>
      <w:pPr>
        <w:tabs>
          <w:tab w:val="num" w:pos="2985"/>
        </w:tabs>
        <w:ind w:left="2985" w:hanging="360"/>
      </w:pPr>
      <w:rPr>
        <w:rFonts w:ascii="font207" w:hAnsi="font207" w:hint="default"/>
      </w:rPr>
    </w:lvl>
    <w:lvl w:ilvl="1" w:tplc="08090003" w:tentative="1">
      <w:start w:val="1"/>
      <w:numFmt w:val="bullet"/>
      <w:lvlText w:val="o"/>
      <w:lvlJc w:val="left"/>
      <w:pPr>
        <w:tabs>
          <w:tab w:val="num" w:pos="4422"/>
        </w:tabs>
        <w:ind w:left="4422" w:hanging="360"/>
      </w:pPr>
      <w:rPr>
        <w:rFonts w:ascii="Courier New" w:hAnsi="Courier New" w:cs="Courier New" w:hint="default"/>
      </w:rPr>
    </w:lvl>
    <w:lvl w:ilvl="2" w:tplc="08090005" w:tentative="1">
      <w:start w:val="1"/>
      <w:numFmt w:val="bullet"/>
      <w:lvlText w:val=""/>
      <w:lvlJc w:val="left"/>
      <w:pPr>
        <w:tabs>
          <w:tab w:val="num" w:pos="5142"/>
        </w:tabs>
        <w:ind w:left="5142" w:hanging="360"/>
      </w:pPr>
      <w:rPr>
        <w:rFonts w:ascii="Wingdings" w:hAnsi="Wingdings" w:hint="default"/>
      </w:rPr>
    </w:lvl>
    <w:lvl w:ilvl="3" w:tplc="08090001" w:tentative="1">
      <w:start w:val="1"/>
      <w:numFmt w:val="bullet"/>
      <w:lvlText w:val=""/>
      <w:lvlJc w:val="left"/>
      <w:pPr>
        <w:tabs>
          <w:tab w:val="num" w:pos="5862"/>
        </w:tabs>
        <w:ind w:left="5862" w:hanging="360"/>
      </w:pPr>
      <w:rPr>
        <w:rFonts w:ascii="Symbol" w:hAnsi="Symbol" w:hint="default"/>
      </w:rPr>
    </w:lvl>
    <w:lvl w:ilvl="4" w:tplc="08090003" w:tentative="1">
      <w:start w:val="1"/>
      <w:numFmt w:val="bullet"/>
      <w:lvlText w:val="o"/>
      <w:lvlJc w:val="left"/>
      <w:pPr>
        <w:tabs>
          <w:tab w:val="num" w:pos="6582"/>
        </w:tabs>
        <w:ind w:left="6582" w:hanging="360"/>
      </w:pPr>
      <w:rPr>
        <w:rFonts w:ascii="Courier New" w:hAnsi="Courier New" w:cs="Courier New" w:hint="default"/>
      </w:rPr>
    </w:lvl>
    <w:lvl w:ilvl="5" w:tplc="08090005" w:tentative="1">
      <w:start w:val="1"/>
      <w:numFmt w:val="bullet"/>
      <w:lvlText w:val=""/>
      <w:lvlJc w:val="left"/>
      <w:pPr>
        <w:tabs>
          <w:tab w:val="num" w:pos="7302"/>
        </w:tabs>
        <w:ind w:left="7302" w:hanging="360"/>
      </w:pPr>
      <w:rPr>
        <w:rFonts w:ascii="Wingdings" w:hAnsi="Wingdings" w:hint="default"/>
      </w:rPr>
    </w:lvl>
    <w:lvl w:ilvl="6" w:tplc="08090001" w:tentative="1">
      <w:start w:val="1"/>
      <w:numFmt w:val="bullet"/>
      <w:lvlText w:val=""/>
      <w:lvlJc w:val="left"/>
      <w:pPr>
        <w:tabs>
          <w:tab w:val="num" w:pos="8022"/>
        </w:tabs>
        <w:ind w:left="8022" w:hanging="360"/>
      </w:pPr>
      <w:rPr>
        <w:rFonts w:ascii="Symbol" w:hAnsi="Symbol" w:hint="default"/>
      </w:rPr>
    </w:lvl>
    <w:lvl w:ilvl="7" w:tplc="08090003" w:tentative="1">
      <w:start w:val="1"/>
      <w:numFmt w:val="bullet"/>
      <w:lvlText w:val="o"/>
      <w:lvlJc w:val="left"/>
      <w:pPr>
        <w:tabs>
          <w:tab w:val="num" w:pos="8742"/>
        </w:tabs>
        <w:ind w:left="8742" w:hanging="360"/>
      </w:pPr>
      <w:rPr>
        <w:rFonts w:ascii="Courier New" w:hAnsi="Courier New" w:cs="Courier New" w:hint="default"/>
      </w:rPr>
    </w:lvl>
    <w:lvl w:ilvl="8" w:tplc="08090005" w:tentative="1">
      <w:start w:val="1"/>
      <w:numFmt w:val="bullet"/>
      <w:lvlText w:val=""/>
      <w:lvlJc w:val="left"/>
      <w:pPr>
        <w:tabs>
          <w:tab w:val="num" w:pos="9462"/>
        </w:tabs>
        <w:ind w:left="9462" w:hanging="360"/>
      </w:pPr>
      <w:rPr>
        <w:rFonts w:ascii="Wingdings" w:hAnsi="Wingdings" w:hint="default"/>
      </w:rPr>
    </w:lvl>
  </w:abstractNum>
  <w:abstractNum w:abstractNumId="6" w15:restartNumberingAfterBreak="0">
    <w:nsid w:val="181512F8"/>
    <w:multiLevelType w:val="hybridMultilevel"/>
    <w:tmpl w:val="E21CC672"/>
    <w:styleLink w:val="ImportedStyle5"/>
    <w:lvl w:ilvl="0" w:tplc="8D0C976E">
      <w:start w:val="1"/>
      <w:numFmt w:val="bullet"/>
      <w:lvlText w:val="•"/>
      <w:lvlJc w:val="left"/>
      <w:pPr>
        <w:ind w:left="35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94491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A4AF6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E42DFF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81E62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A5AF6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9DC35A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374F3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DA29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1C6F179A"/>
    <w:multiLevelType w:val="hybridMultilevel"/>
    <w:tmpl w:val="5D9A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51531"/>
    <w:multiLevelType w:val="hybridMultilevel"/>
    <w:tmpl w:val="1CA083F2"/>
    <w:lvl w:ilvl="0" w:tplc="6386A53E">
      <w:start w:val="1"/>
      <w:numFmt w:val="decimal"/>
      <w:pStyle w:val="ListNumber1"/>
      <w:lvlText w:val="%1."/>
      <w:lvlJc w:val="left"/>
      <w:pPr>
        <w:tabs>
          <w:tab w:val="num" w:pos="357"/>
        </w:tabs>
        <w:ind w:left="357" w:hanging="35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6431D7D"/>
    <w:multiLevelType w:val="multilevel"/>
    <w:tmpl w:val="D478B6B4"/>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
      <w:lvlJc w:val="left"/>
      <w:pPr>
        <w:ind w:left="714" w:hanging="357"/>
      </w:pPr>
      <w:rPr>
        <w:rFonts w:ascii="Symbol" w:hAnsi="Symbol" w:hint="default"/>
      </w:rPr>
    </w:lvl>
    <w:lvl w:ilvl="2">
      <w:start w:val="1"/>
      <w:numFmt w:val="bullet"/>
      <w:pStyle w:val="ListBullet3"/>
      <w:lvlText w:val="-"/>
      <w:lvlJc w:val="left"/>
      <w:pPr>
        <w:ind w:left="1071" w:hanging="357"/>
      </w:pPr>
      <w:rPr>
        <w:rFonts w:ascii="Arial" w:hAnsi="Arial" w:hint="default"/>
      </w:rPr>
    </w:lvl>
    <w:lvl w:ilvl="3">
      <w:start w:val="1"/>
      <w:numFmt w:val="bullet"/>
      <w:pStyle w:val="ListBullet4"/>
      <w:lvlText w:val="."/>
      <w:lvlJc w:val="left"/>
      <w:pPr>
        <w:ind w:left="1428" w:hanging="357"/>
      </w:pPr>
      <w:rPr>
        <w:rFonts w:ascii="Arial" w:hAnsi="Arial" w:hint="default"/>
      </w:rPr>
    </w:lvl>
    <w:lvl w:ilvl="4">
      <w:start w:val="1"/>
      <w:numFmt w:val="bullet"/>
      <w:pStyle w:val="ListBullet5"/>
      <w:lvlText w:val=""/>
      <w:lvlJc w:val="left"/>
      <w:pPr>
        <w:ind w:left="1785" w:hanging="357"/>
      </w:pPr>
      <w:rPr>
        <w:rFonts w:ascii="Symbol" w:hAnsi="Symbol"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0" w15:restartNumberingAfterBreak="0">
    <w:nsid w:val="28296896"/>
    <w:multiLevelType w:val="hybridMultilevel"/>
    <w:tmpl w:val="51FC91CC"/>
    <w:lvl w:ilvl="0" w:tplc="BA806A34">
      <w:start w:val="1"/>
      <w:numFmt w:val="decimal"/>
      <w:pStyle w:val="HeadingOPM3"/>
      <w:lvlText w:val="%1."/>
      <w:lvlJc w:val="left"/>
      <w:pPr>
        <w:ind w:left="1080" w:hanging="360"/>
      </w:pPr>
    </w:lvl>
    <w:lvl w:ilvl="1" w:tplc="04090019">
      <w:start w:val="1"/>
      <w:numFmt w:val="lowerLetter"/>
      <w:lvlText w:val="%2."/>
      <w:lvlJc w:val="left"/>
      <w:pPr>
        <w:ind w:left="1800" w:hanging="360"/>
      </w:pPr>
    </w:lvl>
    <w:lvl w:ilvl="2" w:tplc="0409001B">
      <w:start w:val="1"/>
      <w:numFmt w:val="lowerRoman"/>
      <w:pStyle w:val="HeadingOPM3"/>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074919"/>
    <w:multiLevelType w:val="hybridMultilevel"/>
    <w:tmpl w:val="53AAF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75E2C"/>
    <w:multiLevelType w:val="hybridMultilevel"/>
    <w:tmpl w:val="6F5ED82A"/>
    <w:lvl w:ilvl="0" w:tplc="04090019">
      <w:start w:val="1"/>
      <w:numFmt w:val="lowerLetter"/>
      <w:pStyle w:val="Bullets"/>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B5D3192"/>
    <w:multiLevelType w:val="hybridMultilevel"/>
    <w:tmpl w:val="5EE04A10"/>
    <w:lvl w:ilvl="0" w:tplc="C186B062">
      <w:start w:val="1"/>
      <w:numFmt w:val="bullet"/>
      <w:pStyle w:val="Listbulletfin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C2766B"/>
    <w:multiLevelType w:val="hybridMultilevel"/>
    <w:tmpl w:val="6D68B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5E52703"/>
    <w:multiLevelType w:val="hybridMultilevel"/>
    <w:tmpl w:val="53AAF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B4328F"/>
    <w:multiLevelType w:val="hybridMultilevel"/>
    <w:tmpl w:val="16D2EC58"/>
    <w:lvl w:ilvl="0" w:tplc="864A6CF4">
      <w:start w:val="1"/>
      <w:numFmt w:val="bullet"/>
      <w:pStyle w:val="BulletsSublist"/>
      <w:lvlText w:val=""/>
      <w:lvlJc w:val="left"/>
      <w:pPr>
        <w:ind w:left="2700" w:hanging="360"/>
      </w:pPr>
      <w:rPr>
        <w:rFonts w:ascii="Symbol" w:hAnsi="Symbol" w:hint="default"/>
        <w:i w:val="0"/>
        <w:iCs w:val="0"/>
        <w:caps w:val="0"/>
        <w:strike w:val="0"/>
        <w:dstrike w:val="0"/>
        <w:noProof w:val="0"/>
        <w:vanish w:val="0"/>
        <w:color w:val="000000"/>
        <w:kern w:val="0"/>
        <w:position w:val="0"/>
        <w:u w:val="none"/>
        <w:effect w:val="none"/>
        <w:vertAlign w:val="baseline"/>
        <w:em w:val="none"/>
        <w:specVanish w:val="0"/>
      </w:rPr>
    </w:lvl>
    <w:lvl w:ilvl="1" w:tplc="04090003">
      <w:start w:val="1"/>
      <w:numFmt w:val="bullet"/>
      <w:lvlText w:val=""/>
      <w:lvlJc w:val="left"/>
      <w:pPr>
        <w:ind w:left="3420" w:hanging="360"/>
      </w:pPr>
      <w:rPr>
        <w:rFonts w:ascii="Symbol" w:hAnsi="Symbol" w:hint="default"/>
      </w:rPr>
    </w:lvl>
    <w:lvl w:ilvl="2" w:tplc="04090005">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7" w15:restartNumberingAfterBreak="0">
    <w:nsid w:val="48860A7B"/>
    <w:multiLevelType w:val="hybridMultilevel"/>
    <w:tmpl w:val="A0789218"/>
    <w:lvl w:ilvl="0" w:tplc="C7BCF91E">
      <w:start w:val="1"/>
      <w:numFmt w:val="decimal"/>
      <w:pStyle w:val="Heading2"/>
      <w:lvlText w:val="%1."/>
      <w:lvlJc w:val="left"/>
      <w:pPr>
        <w:ind w:left="720" w:hanging="360"/>
      </w:pPr>
    </w:lvl>
    <w:lvl w:ilvl="1" w:tplc="08090019">
      <w:start w:val="1"/>
      <w:numFmt w:val="lowerLetter"/>
      <w:pStyle w:val="Heading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200037"/>
    <w:multiLevelType w:val="hybridMultilevel"/>
    <w:tmpl w:val="D1CE43B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D2E21AF"/>
    <w:multiLevelType w:val="hybridMultilevel"/>
    <w:tmpl w:val="D8E68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A3490E"/>
    <w:multiLevelType w:val="hybridMultilevel"/>
    <w:tmpl w:val="93F0D03E"/>
    <w:lvl w:ilvl="0" w:tplc="742EA53E">
      <w:start w:val="1"/>
      <w:numFmt w:val="bullet"/>
      <w:pStyle w:val="CVListbullet"/>
      <w:lvlText w:val=""/>
      <w:lvlJc w:val="left"/>
      <w:pPr>
        <w:tabs>
          <w:tab w:val="num" w:pos="2625"/>
        </w:tabs>
        <w:ind w:left="2625" w:hanging="357"/>
      </w:pPr>
      <w:rPr>
        <w:rFonts w:ascii="Symbol" w:hAnsi="Symbol" w:hint="default"/>
      </w:rPr>
    </w:lvl>
    <w:lvl w:ilvl="1" w:tplc="08090003" w:tentative="1">
      <w:start w:val="1"/>
      <w:numFmt w:val="bullet"/>
      <w:lvlText w:val="o"/>
      <w:lvlJc w:val="left"/>
      <w:pPr>
        <w:tabs>
          <w:tab w:val="num" w:pos="3708"/>
        </w:tabs>
        <w:ind w:left="3708" w:hanging="360"/>
      </w:pPr>
      <w:rPr>
        <w:rFonts w:ascii="Courier New" w:hAnsi="Courier New" w:cs="Courier New" w:hint="default"/>
      </w:rPr>
    </w:lvl>
    <w:lvl w:ilvl="2" w:tplc="08090005" w:tentative="1">
      <w:start w:val="1"/>
      <w:numFmt w:val="bullet"/>
      <w:lvlText w:val=""/>
      <w:lvlJc w:val="left"/>
      <w:pPr>
        <w:tabs>
          <w:tab w:val="num" w:pos="4428"/>
        </w:tabs>
        <w:ind w:left="4428" w:hanging="360"/>
      </w:pPr>
      <w:rPr>
        <w:rFonts w:ascii="Wingdings" w:hAnsi="Wingdings" w:hint="default"/>
      </w:rPr>
    </w:lvl>
    <w:lvl w:ilvl="3" w:tplc="08090001" w:tentative="1">
      <w:start w:val="1"/>
      <w:numFmt w:val="bullet"/>
      <w:lvlText w:val=""/>
      <w:lvlJc w:val="left"/>
      <w:pPr>
        <w:tabs>
          <w:tab w:val="num" w:pos="5148"/>
        </w:tabs>
        <w:ind w:left="5148" w:hanging="360"/>
      </w:pPr>
      <w:rPr>
        <w:rFonts w:ascii="Symbol" w:hAnsi="Symbol" w:hint="default"/>
      </w:rPr>
    </w:lvl>
    <w:lvl w:ilvl="4" w:tplc="08090003" w:tentative="1">
      <w:start w:val="1"/>
      <w:numFmt w:val="bullet"/>
      <w:lvlText w:val="o"/>
      <w:lvlJc w:val="left"/>
      <w:pPr>
        <w:tabs>
          <w:tab w:val="num" w:pos="5868"/>
        </w:tabs>
        <w:ind w:left="5868" w:hanging="360"/>
      </w:pPr>
      <w:rPr>
        <w:rFonts w:ascii="Courier New" w:hAnsi="Courier New" w:cs="Courier New" w:hint="default"/>
      </w:rPr>
    </w:lvl>
    <w:lvl w:ilvl="5" w:tplc="08090005" w:tentative="1">
      <w:start w:val="1"/>
      <w:numFmt w:val="bullet"/>
      <w:lvlText w:val=""/>
      <w:lvlJc w:val="left"/>
      <w:pPr>
        <w:tabs>
          <w:tab w:val="num" w:pos="6588"/>
        </w:tabs>
        <w:ind w:left="6588" w:hanging="360"/>
      </w:pPr>
      <w:rPr>
        <w:rFonts w:ascii="Wingdings" w:hAnsi="Wingdings" w:hint="default"/>
      </w:rPr>
    </w:lvl>
    <w:lvl w:ilvl="6" w:tplc="08090001" w:tentative="1">
      <w:start w:val="1"/>
      <w:numFmt w:val="bullet"/>
      <w:lvlText w:val=""/>
      <w:lvlJc w:val="left"/>
      <w:pPr>
        <w:tabs>
          <w:tab w:val="num" w:pos="7308"/>
        </w:tabs>
        <w:ind w:left="7308" w:hanging="360"/>
      </w:pPr>
      <w:rPr>
        <w:rFonts w:ascii="Symbol" w:hAnsi="Symbol" w:hint="default"/>
      </w:rPr>
    </w:lvl>
    <w:lvl w:ilvl="7" w:tplc="08090003" w:tentative="1">
      <w:start w:val="1"/>
      <w:numFmt w:val="bullet"/>
      <w:lvlText w:val="o"/>
      <w:lvlJc w:val="left"/>
      <w:pPr>
        <w:tabs>
          <w:tab w:val="num" w:pos="8028"/>
        </w:tabs>
        <w:ind w:left="8028" w:hanging="360"/>
      </w:pPr>
      <w:rPr>
        <w:rFonts w:ascii="Courier New" w:hAnsi="Courier New" w:cs="Courier New" w:hint="default"/>
      </w:rPr>
    </w:lvl>
    <w:lvl w:ilvl="8" w:tplc="0809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51E872A5"/>
    <w:multiLevelType w:val="hybridMultilevel"/>
    <w:tmpl w:val="D8D2A39C"/>
    <w:lvl w:ilvl="0" w:tplc="3912F96C">
      <w:start w:val="1"/>
      <w:numFmt w:val="bullet"/>
      <w:lvlText w:val="•"/>
      <w:lvlJc w:val="left"/>
      <w:pPr>
        <w:tabs>
          <w:tab w:val="num" w:pos="720"/>
        </w:tabs>
        <w:ind w:left="720" w:hanging="360"/>
      </w:pPr>
      <w:rPr>
        <w:rFonts w:ascii="Arial" w:hAnsi="Arial" w:hint="default"/>
      </w:rPr>
    </w:lvl>
    <w:lvl w:ilvl="1" w:tplc="4BC2A996" w:tentative="1">
      <w:start w:val="1"/>
      <w:numFmt w:val="bullet"/>
      <w:lvlText w:val="•"/>
      <w:lvlJc w:val="left"/>
      <w:pPr>
        <w:tabs>
          <w:tab w:val="num" w:pos="1440"/>
        </w:tabs>
        <w:ind w:left="1440" w:hanging="360"/>
      </w:pPr>
      <w:rPr>
        <w:rFonts w:ascii="Arial" w:hAnsi="Arial" w:hint="default"/>
      </w:rPr>
    </w:lvl>
    <w:lvl w:ilvl="2" w:tplc="7D023AC2" w:tentative="1">
      <w:start w:val="1"/>
      <w:numFmt w:val="bullet"/>
      <w:lvlText w:val="•"/>
      <w:lvlJc w:val="left"/>
      <w:pPr>
        <w:tabs>
          <w:tab w:val="num" w:pos="2160"/>
        </w:tabs>
        <w:ind w:left="2160" w:hanging="360"/>
      </w:pPr>
      <w:rPr>
        <w:rFonts w:ascii="Arial" w:hAnsi="Arial" w:hint="default"/>
      </w:rPr>
    </w:lvl>
    <w:lvl w:ilvl="3" w:tplc="7E0ABBBE" w:tentative="1">
      <w:start w:val="1"/>
      <w:numFmt w:val="bullet"/>
      <w:lvlText w:val="•"/>
      <w:lvlJc w:val="left"/>
      <w:pPr>
        <w:tabs>
          <w:tab w:val="num" w:pos="2880"/>
        </w:tabs>
        <w:ind w:left="2880" w:hanging="360"/>
      </w:pPr>
      <w:rPr>
        <w:rFonts w:ascii="Arial" w:hAnsi="Arial" w:hint="default"/>
      </w:rPr>
    </w:lvl>
    <w:lvl w:ilvl="4" w:tplc="FE68A120" w:tentative="1">
      <w:start w:val="1"/>
      <w:numFmt w:val="bullet"/>
      <w:lvlText w:val="•"/>
      <w:lvlJc w:val="left"/>
      <w:pPr>
        <w:tabs>
          <w:tab w:val="num" w:pos="3600"/>
        </w:tabs>
        <w:ind w:left="3600" w:hanging="360"/>
      </w:pPr>
      <w:rPr>
        <w:rFonts w:ascii="Arial" w:hAnsi="Arial" w:hint="default"/>
      </w:rPr>
    </w:lvl>
    <w:lvl w:ilvl="5" w:tplc="E63AE164" w:tentative="1">
      <w:start w:val="1"/>
      <w:numFmt w:val="bullet"/>
      <w:lvlText w:val="•"/>
      <w:lvlJc w:val="left"/>
      <w:pPr>
        <w:tabs>
          <w:tab w:val="num" w:pos="4320"/>
        </w:tabs>
        <w:ind w:left="4320" w:hanging="360"/>
      </w:pPr>
      <w:rPr>
        <w:rFonts w:ascii="Arial" w:hAnsi="Arial" w:hint="default"/>
      </w:rPr>
    </w:lvl>
    <w:lvl w:ilvl="6" w:tplc="37BA53BE" w:tentative="1">
      <w:start w:val="1"/>
      <w:numFmt w:val="bullet"/>
      <w:lvlText w:val="•"/>
      <w:lvlJc w:val="left"/>
      <w:pPr>
        <w:tabs>
          <w:tab w:val="num" w:pos="5040"/>
        </w:tabs>
        <w:ind w:left="5040" w:hanging="360"/>
      </w:pPr>
      <w:rPr>
        <w:rFonts w:ascii="Arial" w:hAnsi="Arial" w:hint="default"/>
      </w:rPr>
    </w:lvl>
    <w:lvl w:ilvl="7" w:tplc="358815A2" w:tentative="1">
      <w:start w:val="1"/>
      <w:numFmt w:val="bullet"/>
      <w:lvlText w:val="•"/>
      <w:lvlJc w:val="left"/>
      <w:pPr>
        <w:tabs>
          <w:tab w:val="num" w:pos="5760"/>
        </w:tabs>
        <w:ind w:left="5760" w:hanging="360"/>
      </w:pPr>
      <w:rPr>
        <w:rFonts w:ascii="Arial" w:hAnsi="Arial" w:hint="default"/>
      </w:rPr>
    </w:lvl>
    <w:lvl w:ilvl="8" w:tplc="6B4800B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96A02E8"/>
    <w:multiLevelType w:val="hybridMultilevel"/>
    <w:tmpl w:val="DE1C5DE8"/>
    <w:lvl w:ilvl="0" w:tplc="FFF86752">
      <w:start w:val="1"/>
      <w:numFmt w:val="lowerLetter"/>
      <w:pStyle w:val="List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5849B0"/>
    <w:multiLevelType w:val="hybridMultilevel"/>
    <w:tmpl w:val="CC7E7522"/>
    <w:lvl w:ilvl="0" w:tplc="1B1081C8">
      <w:start w:val="1"/>
      <w:numFmt w:val="decimal"/>
      <w:pStyle w:val="Numbered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B223A4"/>
    <w:multiLevelType w:val="multilevel"/>
    <w:tmpl w:val="9F8402CC"/>
    <w:lvl w:ilvl="0">
      <w:start w:val="1"/>
      <w:numFmt w:val="decimal"/>
      <w:lvlText w:val="%1"/>
      <w:lvlJc w:val="left"/>
      <w:pPr>
        <w:tabs>
          <w:tab w:val="num" w:pos="851"/>
        </w:tabs>
        <w:ind w:left="851" w:hanging="851"/>
      </w:pPr>
      <w:rPr>
        <w:rFonts w:ascii="Arial Bold" w:hAnsi="Arial Bold" w:hint="default"/>
        <w:sz w:val="40"/>
      </w:rPr>
    </w:lvl>
    <w:lvl w:ilvl="1">
      <w:start w:val="1"/>
      <w:numFmt w:val="decimal"/>
      <w:isLgl/>
      <w:lvlText w:val="%1.%2"/>
      <w:lvlJc w:val="left"/>
      <w:pPr>
        <w:tabs>
          <w:tab w:val="num" w:pos="941"/>
        </w:tabs>
        <w:ind w:left="941" w:hanging="851"/>
      </w:pPr>
      <w:rPr>
        <w:rFonts w:hint="default"/>
      </w:rPr>
    </w:lvl>
    <w:lvl w:ilvl="2">
      <w:start w:val="1"/>
      <w:numFmt w:val="decimal"/>
      <w:lvlText w:val="%1.%2.%3"/>
      <w:lvlJc w:val="left"/>
      <w:pPr>
        <w:tabs>
          <w:tab w:val="num" w:pos="851"/>
        </w:tabs>
        <w:ind w:left="851" w:hanging="851"/>
      </w:pPr>
      <w:rPr>
        <w:rFonts w:hint="default"/>
        <w:b/>
        <w:bCs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25" w15:restartNumberingAfterBreak="0">
    <w:nsid w:val="5EE65713"/>
    <w:multiLevelType w:val="hybridMultilevel"/>
    <w:tmpl w:val="76504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ADD7345"/>
    <w:multiLevelType w:val="hybridMultilevel"/>
    <w:tmpl w:val="5AF859C4"/>
    <w:lvl w:ilvl="0" w:tplc="1B585E9E">
      <w:start w:val="1"/>
      <w:numFmt w:val="lowerRoman"/>
      <w:pStyle w:val="ListNumbered2"/>
      <w:lvlText w:val="%1."/>
      <w:lvlJc w:val="righ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7" w15:restartNumberingAfterBreak="0">
    <w:nsid w:val="72F85424"/>
    <w:multiLevelType w:val="multilevel"/>
    <w:tmpl w:val="9E0848C2"/>
    <w:lvl w:ilvl="0">
      <w:start w:val="1"/>
      <w:numFmt w:val="upperLetter"/>
      <w:pStyle w:val="Annextitle"/>
      <w:lvlText w:val="Annex %1"/>
      <w:lvlJc w:val="left"/>
      <w:pPr>
        <w:tabs>
          <w:tab w:val="num" w:pos="360"/>
        </w:tabs>
        <w:ind w:left="360" w:hanging="360"/>
      </w:pPr>
      <w:rPr>
        <w:rFonts w:hint="default"/>
      </w:rPr>
    </w:lvl>
    <w:lvl w:ilvl="1">
      <w:start w:val="1"/>
      <w:numFmt w:val="decimal"/>
      <w:pStyle w:val="Annexheading1"/>
      <w:lvlText w:val="%1.%2"/>
      <w:lvlJc w:val="left"/>
      <w:pPr>
        <w:tabs>
          <w:tab w:val="num" w:pos="720"/>
        </w:tabs>
        <w:ind w:left="720" w:hanging="720"/>
      </w:pPr>
      <w:rPr>
        <w:rFonts w:hint="default"/>
      </w:rPr>
    </w:lvl>
    <w:lvl w:ilvl="2">
      <w:start w:val="1"/>
      <w:numFmt w:val="decimal"/>
      <w:pStyle w:val="Annexheading2"/>
      <w:lvlText w:val="%1.%2.%3"/>
      <w:lvlJc w:val="left"/>
      <w:pPr>
        <w:tabs>
          <w:tab w:val="num" w:pos="3272"/>
        </w:tabs>
        <w:ind w:left="3272" w:hanging="720"/>
      </w:pPr>
      <w:rPr>
        <w:rFonts w:hint="default"/>
      </w:rPr>
    </w:lvl>
    <w:lvl w:ilvl="3">
      <w:start w:val="1"/>
      <w:numFmt w:val="decimal"/>
      <w:pStyle w:val="Annexheading3"/>
      <w:lvlText w:val="%1.%2.%3.%4"/>
      <w:lvlJc w:val="left"/>
      <w:pPr>
        <w:tabs>
          <w:tab w:val="num" w:pos="1440"/>
        </w:tabs>
        <w:ind w:left="1440" w:hanging="1440"/>
      </w:pPr>
      <w:rPr>
        <w:rFonts w:hint="default"/>
      </w:rPr>
    </w:lvl>
    <w:lvl w:ilvl="4">
      <w:start w:val="1"/>
      <w:numFmt w:val="decimal"/>
      <w:lvlRestart w:val="1"/>
      <w:lvlText w:val="Table %1.%5"/>
      <w:lvlJc w:val="left"/>
      <w:pPr>
        <w:tabs>
          <w:tab w:val="num" w:pos="1440"/>
        </w:tabs>
        <w:ind w:left="1440" w:hanging="1440"/>
      </w:pPr>
      <w:rPr>
        <w:rFonts w:hint="default"/>
      </w:rPr>
    </w:lvl>
    <w:lvl w:ilvl="5">
      <w:start w:val="1"/>
      <w:numFmt w:val="decimal"/>
      <w:lvlRestart w:val="1"/>
      <w:lvlText w:val="Figure %1.%6"/>
      <w:lvlJc w:val="left"/>
      <w:pPr>
        <w:tabs>
          <w:tab w:val="num" w:pos="1440"/>
        </w:tabs>
        <w:ind w:left="1440" w:hanging="1440"/>
      </w:pPr>
      <w:rPr>
        <w:rFonts w:hint="default"/>
      </w:rPr>
    </w:lvl>
    <w:lvl w:ilvl="6">
      <w:start w:val="1"/>
      <w:numFmt w:val="decimal"/>
      <w:lvlRestart w:val="1"/>
      <w:lvlText w:val="Box %1.%7"/>
      <w:lvlJc w:val="left"/>
      <w:pPr>
        <w:tabs>
          <w:tab w:val="num" w:pos="1440"/>
        </w:tabs>
        <w:ind w:left="1440" w:hanging="144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3DC7F71"/>
    <w:multiLevelType w:val="hybridMultilevel"/>
    <w:tmpl w:val="D87828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8855E72"/>
    <w:multiLevelType w:val="multilevel"/>
    <w:tmpl w:val="108E8114"/>
    <w:lvl w:ilvl="0">
      <w:start w:val="1"/>
      <w:numFmt w:val="decimal"/>
      <w:pStyle w:val="Heading1"/>
      <w:lvlText w:val="%1"/>
      <w:lvlJc w:val="left"/>
      <w:pPr>
        <w:tabs>
          <w:tab w:val="num" w:pos="851"/>
        </w:tabs>
        <w:ind w:left="851" w:hanging="851"/>
      </w:pPr>
      <w:rPr>
        <w:rFonts w:hint="default"/>
      </w:rPr>
    </w:lvl>
    <w:lvl w:ilvl="1">
      <w:start w:val="1"/>
      <w:numFmt w:val="decimal"/>
      <w:pStyle w:val="Heading20"/>
      <w:isLgl/>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30" w15:restartNumberingAfterBreak="0">
    <w:nsid w:val="7E350385"/>
    <w:multiLevelType w:val="hybridMultilevel"/>
    <w:tmpl w:val="F8FEAA5C"/>
    <w:lvl w:ilvl="0" w:tplc="15E8BCB4">
      <w:start w:val="1"/>
      <w:numFmt w:val="decimal"/>
      <w:pStyle w:val="ListNumbered"/>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1" w15:restartNumberingAfterBreak="0">
    <w:nsid w:val="7EB6627D"/>
    <w:multiLevelType w:val="hybridMultilevel"/>
    <w:tmpl w:val="7C82EC68"/>
    <w:lvl w:ilvl="0" w:tplc="E80A85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27"/>
  </w:num>
  <w:num w:numId="3">
    <w:abstractNumId w:val="9"/>
  </w:num>
  <w:num w:numId="4">
    <w:abstractNumId w:val="13"/>
  </w:num>
  <w:num w:numId="5">
    <w:abstractNumId w:val="22"/>
  </w:num>
  <w:num w:numId="6">
    <w:abstractNumId w:val="26"/>
  </w:num>
  <w:num w:numId="7">
    <w:abstractNumId w:val="1"/>
  </w:num>
  <w:num w:numId="8">
    <w:abstractNumId w:val="16"/>
  </w:num>
  <w:num w:numId="9">
    <w:abstractNumId w:val="2"/>
  </w:num>
  <w:num w:numId="10">
    <w:abstractNumId w:val="17"/>
  </w:num>
  <w:num w:numId="11">
    <w:abstractNumId w:val="23"/>
  </w:num>
  <w:num w:numId="12">
    <w:abstractNumId w:val="20"/>
  </w:num>
  <w:num w:numId="13">
    <w:abstractNumId w:val="5"/>
  </w:num>
  <w:num w:numId="14">
    <w:abstractNumId w:val="0"/>
  </w:num>
  <w:num w:numId="15">
    <w:abstractNumId w:val="10"/>
  </w:num>
  <w:num w:numId="16">
    <w:abstractNumId w:val="12"/>
  </w:num>
  <w:num w:numId="17">
    <w:abstractNumId w:val="8"/>
    <w:lvlOverride w:ilvl="0">
      <w:startOverride w:val="1"/>
    </w:lvlOverride>
  </w:num>
  <w:num w:numId="18">
    <w:abstractNumId w:val="6"/>
  </w:num>
  <w:num w:numId="19">
    <w:abstractNumId w:val="4"/>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9"/>
  </w:num>
  <w:num w:numId="23">
    <w:abstractNumId w:val="31"/>
  </w:num>
  <w:num w:numId="24">
    <w:abstractNumId w:val="21"/>
  </w:num>
  <w:num w:numId="25">
    <w:abstractNumId w:val="19"/>
  </w:num>
  <w:num w:numId="26">
    <w:abstractNumId w:val="28"/>
  </w:num>
  <w:num w:numId="27">
    <w:abstractNumId w:val="18"/>
  </w:num>
  <w:num w:numId="28">
    <w:abstractNumId w:val="14"/>
  </w:num>
  <w:num w:numId="29">
    <w:abstractNumId w:val="25"/>
  </w:num>
  <w:num w:numId="30">
    <w:abstractNumId w:val="3"/>
  </w:num>
  <w:num w:numId="31">
    <w:abstractNumId w:val="11"/>
  </w:num>
  <w:num w:numId="32">
    <w:abstractNumId w:val="15"/>
  </w:num>
  <w:num w:numId="33">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en-CA" w:vendorID="64" w:dllVersion="0" w:nlCheck="1" w:checkStyle="0"/>
  <w:activeWritingStyle w:appName="MSWord" w:lang="fr-CA" w:vendorID="64" w:dllVersion="0" w:nlCheck="1" w:checkStyle="0"/>
  <w:activeWritingStyle w:appName="MSWord" w:lang="en-AU" w:vendorID="64" w:dllVersion="6" w:nlCheck="1" w:checkStyle="1"/>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n-CA" w:vendorID="64" w:dllVersion="131078" w:nlCheck="1" w:checkStyle="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32D"/>
    <w:rsid w:val="00000B15"/>
    <w:rsid w:val="00001599"/>
    <w:rsid w:val="000016E4"/>
    <w:rsid w:val="000025ED"/>
    <w:rsid w:val="0000388E"/>
    <w:rsid w:val="0000701E"/>
    <w:rsid w:val="0001329F"/>
    <w:rsid w:val="00013A8F"/>
    <w:rsid w:val="000143BC"/>
    <w:rsid w:val="0001591D"/>
    <w:rsid w:val="00015F16"/>
    <w:rsid w:val="00016410"/>
    <w:rsid w:val="000173B4"/>
    <w:rsid w:val="00017C65"/>
    <w:rsid w:val="00021D04"/>
    <w:rsid w:val="000224B9"/>
    <w:rsid w:val="0002331F"/>
    <w:rsid w:val="000240EE"/>
    <w:rsid w:val="00025519"/>
    <w:rsid w:val="00027F51"/>
    <w:rsid w:val="0003018D"/>
    <w:rsid w:val="0003135F"/>
    <w:rsid w:val="000325CA"/>
    <w:rsid w:val="0003293C"/>
    <w:rsid w:val="00032C1A"/>
    <w:rsid w:val="00032DF7"/>
    <w:rsid w:val="00037E3B"/>
    <w:rsid w:val="00040E7C"/>
    <w:rsid w:val="00042D01"/>
    <w:rsid w:val="00044D93"/>
    <w:rsid w:val="0004507B"/>
    <w:rsid w:val="000454F7"/>
    <w:rsid w:val="00046F22"/>
    <w:rsid w:val="00047CD6"/>
    <w:rsid w:val="000505CC"/>
    <w:rsid w:val="000517A9"/>
    <w:rsid w:val="000517EE"/>
    <w:rsid w:val="00052992"/>
    <w:rsid w:val="00054ECC"/>
    <w:rsid w:val="0005501D"/>
    <w:rsid w:val="000605C9"/>
    <w:rsid w:val="0006088B"/>
    <w:rsid w:val="000610EE"/>
    <w:rsid w:val="00062CD8"/>
    <w:rsid w:val="000639F7"/>
    <w:rsid w:val="00065737"/>
    <w:rsid w:val="000704D9"/>
    <w:rsid w:val="00070614"/>
    <w:rsid w:val="00071225"/>
    <w:rsid w:val="000742DA"/>
    <w:rsid w:val="000753CA"/>
    <w:rsid w:val="00075505"/>
    <w:rsid w:val="00075D20"/>
    <w:rsid w:val="000765EF"/>
    <w:rsid w:val="0007709B"/>
    <w:rsid w:val="00080532"/>
    <w:rsid w:val="000825C9"/>
    <w:rsid w:val="00082750"/>
    <w:rsid w:val="00086569"/>
    <w:rsid w:val="000867F1"/>
    <w:rsid w:val="00087386"/>
    <w:rsid w:val="000904F9"/>
    <w:rsid w:val="00090F63"/>
    <w:rsid w:val="00091F30"/>
    <w:rsid w:val="0009431B"/>
    <w:rsid w:val="00095B64"/>
    <w:rsid w:val="000A0DF5"/>
    <w:rsid w:val="000A1889"/>
    <w:rsid w:val="000A26DB"/>
    <w:rsid w:val="000A2E8A"/>
    <w:rsid w:val="000A32F2"/>
    <w:rsid w:val="000A3572"/>
    <w:rsid w:val="000A4A14"/>
    <w:rsid w:val="000A5501"/>
    <w:rsid w:val="000A6700"/>
    <w:rsid w:val="000A6917"/>
    <w:rsid w:val="000A73FA"/>
    <w:rsid w:val="000B26D7"/>
    <w:rsid w:val="000B4BD4"/>
    <w:rsid w:val="000B4EBD"/>
    <w:rsid w:val="000B4ECD"/>
    <w:rsid w:val="000B5B8D"/>
    <w:rsid w:val="000B6152"/>
    <w:rsid w:val="000C25E4"/>
    <w:rsid w:val="000C46FB"/>
    <w:rsid w:val="000C7FBE"/>
    <w:rsid w:val="000D1E8F"/>
    <w:rsid w:val="000D3B1B"/>
    <w:rsid w:val="000D7898"/>
    <w:rsid w:val="000D7A22"/>
    <w:rsid w:val="000D7D0E"/>
    <w:rsid w:val="000E1429"/>
    <w:rsid w:val="000E446B"/>
    <w:rsid w:val="000E4D51"/>
    <w:rsid w:val="000E562D"/>
    <w:rsid w:val="000E6752"/>
    <w:rsid w:val="000F2BCB"/>
    <w:rsid w:val="000F3F5B"/>
    <w:rsid w:val="000F65BE"/>
    <w:rsid w:val="00100C54"/>
    <w:rsid w:val="00101444"/>
    <w:rsid w:val="0010201E"/>
    <w:rsid w:val="001022F4"/>
    <w:rsid w:val="00103BEE"/>
    <w:rsid w:val="00111F69"/>
    <w:rsid w:val="00112672"/>
    <w:rsid w:val="00113940"/>
    <w:rsid w:val="0011421B"/>
    <w:rsid w:val="0011426F"/>
    <w:rsid w:val="00116C48"/>
    <w:rsid w:val="00120286"/>
    <w:rsid w:val="00121A3C"/>
    <w:rsid w:val="00121E11"/>
    <w:rsid w:val="00122024"/>
    <w:rsid w:val="0012214C"/>
    <w:rsid w:val="00123093"/>
    <w:rsid w:val="00123881"/>
    <w:rsid w:val="001300FB"/>
    <w:rsid w:val="00130945"/>
    <w:rsid w:val="00132F16"/>
    <w:rsid w:val="00135E89"/>
    <w:rsid w:val="001373A6"/>
    <w:rsid w:val="00147B71"/>
    <w:rsid w:val="00150A59"/>
    <w:rsid w:val="00150FE4"/>
    <w:rsid w:val="00163FDA"/>
    <w:rsid w:val="001641E3"/>
    <w:rsid w:val="00164FCE"/>
    <w:rsid w:val="0016504E"/>
    <w:rsid w:val="00173D5F"/>
    <w:rsid w:val="00173DBC"/>
    <w:rsid w:val="00174295"/>
    <w:rsid w:val="00177ECD"/>
    <w:rsid w:val="00180744"/>
    <w:rsid w:val="00181947"/>
    <w:rsid w:val="00185161"/>
    <w:rsid w:val="001863DE"/>
    <w:rsid w:val="001866DC"/>
    <w:rsid w:val="001870B8"/>
    <w:rsid w:val="00187A20"/>
    <w:rsid w:val="00187B7C"/>
    <w:rsid w:val="001918A0"/>
    <w:rsid w:val="001922F6"/>
    <w:rsid w:val="0019445F"/>
    <w:rsid w:val="00194DA1"/>
    <w:rsid w:val="00195B24"/>
    <w:rsid w:val="00196F98"/>
    <w:rsid w:val="00197073"/>
    <w:rsid w:val="001A487D"/>
    <w:rsid w:val="001A4916"/>
    <w:rsid w:val="001A5627"/>
    <w:rsid w:val="001A6CDF"/>
    <w:rsid w:val="001B12CA"/>
    <w:rsid w:val="001B366B"/>
    <w:rsid w:val="001B3B2C"/>
    <w:rsid w:val="001B404A"/>
    <w:rsid w:val="001B41CF"/>
    <w:rsid w:val="001B48C2"/>
    <w:rsid w:val="001B4EF0"/>
    <w:rsid w:val="001B53B9"/>
    <w:rsid w:val="001B66F1"/>
    <w:rsid w:val="001B6E83"/>
    <w:rsid w:val="001B7A33"/>
    <w:rsid w:val="001C14B0"/>
    <w:rsid w:val="001C4B5B"/>
    <w:rsid w:val="001C636D"/>
    <w:rsid w:val="001C6B1B"/>
    <w:rsid w:val="001D093C"/>
    <w:rsid w:val="001D1FD3"/>
    <w:rsid w:val="001D3581"/>
    <w:rsid w:val="001D5DA7"/>
    <w:rsid w:val="001D6C3A"/>
    <w:rsid w:val="001D715C"/>
    <w:rsid w:val="001D7417"/>
    <w:rsid w:val="001E174F"/>
    <w:rsid w:val="001F12F9"/>
    <w:rsid w:val="001F2859"/>
    <w:rsid w:val="001F299A"/>
    <w:rsid w:val="001F3F65"/>
    <w:rsid w:val="001F505A"/>
    <w:rsid w:val="001F5205"/>
    <w:rsid w:val="001F5B05"/>
    <w:rsid w:val="001F7088"/>
    <w:rsid w:val="001F712B"/>
    <w:rsid w:val="001F7468"/>
    <w:rsid w:val="00202AF0"/>
    <w:rsid w:val="0020354B"/>
    <w:rsid w:val="00205ADB"/>
    <w:rsid w:val="00207857"/>
    <w:rsid w:val="00207AE9"/>
    <w:rsid w:val="00207EEF"/>
    <w:rsid w:val="002147BF"/>
    <w:rsid w:val="00220B74"/>
    <w:rsid w:val="00221AE0"/>
    <w:rsid w:val="00231BB7"/>
    <w:rsid w:val="00231E41"/>
    <w:rsid w:val="002347FC"/>
    <w:rsid w:val="00236CD1"/>
    <w:rsid w:val="00240654"/>
    <w:rsid w:val="00243C80"/>
    <w:rsid w:val="00245899"/>
    <w:rsid w:val="0024617A"/>
    <w:rsid w:val="00250245"/>
    <w:rsid w:val="002509B4"/>
    <w:rsid w:val="002521F6"/>
    <w:rsid w:val="00252443"/>
    <w:rsid w:val="00253599"/>
    <w:rsid w:val="00253610"/>
    <w:rsid w:val="00254F48"/>
    <w:rsid w:val="002556C0"/>
    <w:rsid w:val="002601D9"/>
    <w:rsid w:val="0026085C"/>
    <w:rsid w:val="00261244"/>
    <w:rsid w:val="00261D72"/>
    <w:rsid w:val="00263901"/>
    <w:rsid w:val="00263A7C"/>
    <w:rsid w:val="00264B0C"/>
    <w:rsid w:val="002653F4"/>
    <w:rsid w:val="00266BC3"/>
    <w:rsid w:val="00266C1D"/>
    <w:rsid w:val="002702DE"/>
    <w:rsid w:val="00270785"/>
    <w:rsid w:val="002712C6"/>
    <w:rsid w:val="00271528"/>
    <w:rsid w:val="002733F3"/>
    <w:rsid w:val="00274388"/>
    <w:rsid w:val="002744D0"/>
    <w:rsid w:val="002759BA"/>
    <w:rsid w:val="00277B6A"/>
    <w:rsid w:val="00282992"/>
    <w:rsid w:val="002831EE"/>
    <w:rsid w:val="00287E9B"/>
    <w:rsid w:val="002922AF"/>
    <w:rsid w:val="002965B0"/>
    <w:rsid w:val="002A0F3F"/>
    <w:rsid w:val="002A12CE"/>
    <w:rsid w:val="002A1706"/>
    <w:rsid w:val="002A33E5"/>
    <w:rsid w:val="002A4BB8"/>
    <w:rsid w:val="002A5043"/>
    <w:rsid w:val="002A7C53"/>
    <w:rsid w:val="002B017E"/>
    <w:rsid w:val="002B0448"/>
    <w:rsid w:val="002B10C7"/>
    <w:rsid w:val="002B710F"/>
    <w:rsid w:val="002C0528"/>
    <w:rsid w:val="002C0AFD"/>
    <w:rsid w:val="002C0FDB"/>
    <w:rsid w:val="002C2370"/>
    <w:rsid w:val="002C51C6"/>
    <w:rsid w:val="002C5A3A"/>
    <w:rsid w:val="002C6533"/>
    <w:rsid w:val="002C6679"/>
    <w:rsid w:val="002C7256"/>
    <w:rsid w:val="002C728B"/>
    <w:rsid w:val="002D12CB"/>
    <w:rsid w:val="002D2327"/>
    <w:rsid w:val="002D2685"/>
    <w:rsid w:val="002D43EB"/>
    <w:rsid w:val="002D546E"/>
    <w:rsid w:val="002E3BC6"/>
    <w:rsid w:val="002E5F19"/>
    <w:rsid w:val="002E6EC0"/>
    <w:rsid w:val="002F1219"/>
    <w:rsid w:val="002F2B5E"/>
    <w:rsid w:val="002F39E4"/>
    <w:rsid w:val="002F6111"/>
    <w:rsid w:val="002F70A9"/>
    <w:rsid w:val="002F744A"/>
    <w:rsid w:val="002F7D9C"/>
    <w:rsid w:val="003071A5"/>
    <w:rsid w:val="003124FC"/>
    <w:rsid w:val="00314344"/>
    <w:rsid w:val="00314371"/>
    <w:rsid w:val="00314BE2"/>
    <w:rsid w:val="00317025"/>
    <w:rsid w:val="003215E9"/>
    <w:rsid w:val="00323D9B"/>
    <w:rsid w:val="00324870"/>
    <w:rsid w:val="003254B8"/>
    <w:rsid w:val="00325874"/>
    <w:rsid w:val="0033062C"/>
    <w:rsid w:val="00330F7D"/>
    <w:rsid w:val="0033222B"/>
    <w:rsid w:val="0033300C"/>
    <w:rsid w:val="00333CC6"/>
    <w:rsid w:val="003350ED"/>
    <w:rsid w:val="00335739"/>
    <w:rsid w:val="0033694F"/>
    <w:rsid w:val="00337E15"/>
    <w:rsid w:val="00341E42"/>
    <w:rsid w:val="00342BDC"/>
    <w:rsid w:val="0034571C"/>
    <w:rsid w:val="00345B7E"/>
    <w:rsid w:val="00345B80"/>
    <w:rsid w:val="0034645D"/>
    <w:rsid w:val="00346FDC"/>
    <w:rsid w:val="003506E5"/>
    <w:rsid w:val="00350772"/>
    <w:rsid w:val="00351CC2"/>
    <w:rsid w:val="0035226B"/>
    <w:rsid w:val="003538F5"/>
    <w:rsid w:val="00353D9D"/>
    <w:rsid w:val="003550E1"/>
    <w:rsid w:val="003555E1"/>
    <w:rsid w:val="00357467"/>
    <w:rsid w:val="00357C2A"/>
    <w:rsid w:val="003604E9"/>
    <w:rsid w:val="00363375"/>
    <w:rsid w:val="003643D4"/>
    <w:rsid w:val="0036444E"/>
    <w:rsid w:val="00364D13"/>
    <w:rsid w:val="003659AC"/>
    <w:rsid w:val="00374AA2"/>
    <w:rsid w:val="0038007E"/>
    <w:rsid w:val="00381EFB"/>
    <w:rsid w:val="00382B37"/>
    <w:rsid w:val="0038353E"/>
    <w:rsid w:val="003837CE"/>
    <w:rsid w:val="003842C6"/>
    <w:rsid w:val="0038542D"/>
    <w:rsid w:val="00390CB0"/>
    <w:rsid w:val="003910E0"/>
    <w:rsid w:val="00392701"/>
    <w:rsid w:val="003948A2"/>
    <w:rsid w:val="003A4755"/>
    <w:rsid w:val="003A5E44"/>
    <w:rsid w:val="003A5EC8"/>
    <w:rsid w:val="003A734F"/>
    <w:rsid w:val="003B06CE"/>
    <w:rsid w:val="003B12E3"/>
    <w:rsid w:val="003B3D01"/>
    <w:rsid w:val="003B47C4"/>
    <w:rsid w:val="003B4F8E"/>
    <w:rsid w:val="003B5085"/>
    <w:rsid w:val="003B53CC"/>
    <w:rsid w:val="003B59A3"/>
    <w:rsid w:val="003B63DB"/>
    <w:rsid w:val="003B74E1"/>
    <w:rsid w:val="003C1E2B"/>
    <w:rsid w:val="003C25F2"/>
    <w:rsid w:val="003C3C5C"/>
    <w:rsid w:val="003C3D8B"/>
    <w:rsid w:val="003C5328"/>
    <w:rsid w:val="003C6D01"/>
    <w:rsid w:val="003C76B8"/>
    <w:rsid w:val="003D0BDA"/>
    <w:rsid w:val="003D17E9"/>
    <w:rsid w:val="003D26A4"/>
    <w:rsid w:val="003D2F57"/>
    <w:rsid w:val="003D6137"/>
    <w:rsid w:val="003D6B00"/>
    <w:rsid w:val="003D754B"/>
    <w:rsid w:val="003E01B8"/>
    <w:rsid w:val="003E1A94"/>
    <w:rsid w:val="003E2944"/>
    <w:rsid w:val="003E3FDE"/>
    <w:rsid w:val="003E6DAD"/>
    <w:rsid w:val="003F0381"/>
    <w:rsid w:val="00401D01"/>
    <w:rsid w:val="0040369C"/>
    <w:rsid w:val="00404DDA"/>
    <w:rsid w:val="004055D8"/>
    <w:rsid w:val="00405DC0"/>
    <w:rsid w:val="00406A2B"/>
    <w:rsid w:val="00407B5D"/>
    <w:rsid w:val="004104D2"/>
    <w:rsid w:val="004119CB"/>
    <w:rsid w:val="0041229D"/>
    <w:rsid w:val="00414C91"/>
    <w:rsid w:val="00416AC9"/>
    <w:rsid w:val="00416E43"/>
    <w:rsid w:val="00420EDC"/>
    <w:rsid w:val="004236F3"/>
    <w:rsid w:val="00423CF2"/>
    <w:rsid w:val="00424721"/>
    <w:rsid w:val="00424B0B"/>
    <w:rsid w:val="00426105"/>
    <w:rsid w:val="00431892"/>
    <w:rsid w:val="0043420A"/>
    <w:rsid w:val="00435227"/>
    <w:rsid w:val="004365AE"/>
    <w:rsid w:val="004371F1"/>
    <w:rsid w:val="00437BA0"/>
    <w:rsid w:val="00440C5A"/>
    <w:rsid w:val="004451B7"/>
    <w:rsid w:val="004507DD"/>
    <w:rsid w:val="0045226D"/>
    <w:rsid w:val="004523F8"/>
    <w:rsid w:val="0045372A"/>
    <w:rsid w:val="00453A93"/>
    <w:rsid w:val="00456E4B"/>
    <w:rsid w:val="00461A84"/>
    <w:rsid w:val="00461AFD"/>
    <w:rsid w:val="00462E59"/>
    <w:rsid w:val="00463DAC"/>
    <w:rsid w:val="00464BDF"/>
    <w:rsid w:val="00465FB4"/>
    <w:rsid w:val="00466AD0"/>
    <w:rsid w:val="00467E97"/>
    <w:rsid w:val="004703D7"/>
    <w:rsid w:val="004704DC"/>
    <w:rsid w:val="004709B8"/>
    <w:rsid w:val="00471EAF"/>
    <w:rsid w:val="00475405"/>
    <w:rsid w:val="00475C90"/>
    <w:rsid w:val="00481337"/>
    <w:rsid w:val="00486016"/>
    <w:rsid w:val="004877A6"/>
    <w:rsid w:val="00487F5D"/>
    <w:rsid w:val="00490631"/>
    <w:rsid w:val="0049229E"/>
    <w:rsid w:val="00494729"/>
    <w:rsid w:val="00495FCF"/>
    <w:rsid w:val="00496C9B"/>
    <w:rsid w:val="00496FC6"/>
    <w:rsid w:val="004A2C63"/>
    <w:rsid w:val="004A43D4"/>
    <w:rsid w:val="004A4783"/>
    <w:rsid w:val="004B1100"/>
    <w:rsid w:val="004B2B28"/>
    <w:rsid w:val="004B39E7"/>
    <w:rsid w:val="004B3DCD"/>
    <w:rsid w:val="004B3F8F"/>
    <w:rsid w:val="004B4976"/>
    <w:rsid w:val="004B7B18"/>
    <w:rsid w:val="004C3180"/>
    <w:rsid w:val="004C6434"/>
    <w:rsid w:val="004C7E75"/>
    <w:rsid w:val="004D4983"/>
    <w:rsid w:val="004D64EA"/>
    <w:rsid w:val="004D70F7"/>
    <w:rsid w:val="004D7900"/>
    <w:rsid w:val="004E36E9"/>
    <w:rsid w:val="004E5370"/>
    <w:rsid w:val="004E695D"/>
    <w:rsid w:val="004F1027"/>
    <w:rsid w:val="004F17E8"/>
    <w:rsid w:val="004F1EF6"/>
    <w:rsid w:val="004F2E9C"/>
    <w:rsid w:val="004F5CD1"/>
    <w:rsid w:val="004F75EE"/>
    <w:rsid w:val="00503B63"/>
    <w:rsid w:val="00503C80"/>
    <w:rsid w:val="00504B23"/>
    <w:rsid w:val="005067B3"/>
    <w:rsid w:val="005070E3"/>
    <w:rsid w:val="00513D44"/>
    <w:rsid w:val="00517165"/>
    <w:rsid w:val="00517936"/>
    <w:rsid w:val="005237E7"/>
    <w:rsid w:val="00525A2D"/>
    <w:rsid w:val="00527137"/>
    <w:rsid w:val="0052723A"/>
    <w:rsid w:val="00530E2E"/>
    <w:rsid w:val="0053241D"/>
    <w:rsid w:val="00532E70"/>
    <w:rsid w:val="005341E7"/>
    <w:rsid w:val="00535AC8"/>
    <w:rsid w:val="00537D7B"/>
    <w:rsid w:val="005406F6"/>
    <w:rsid w:val="00540AA9"/>
    <w:rsid w:val="0054699A"/>
    <w:rsid w:val="00546CA4"/>
    <w:rsid w:val="0055061C"/>
    <w:rsid w:val="005516D2"/>
    <w:rsid w:val="005522DF"/>
    <w:rsid w:val="0055710B"/>
    <w:rsid w:val="005623A1"/>
    <w:rsid w:val="0056447D"/>
    <w:rsid w:val="00565F21"/>
    <w:rsid w:val="00570225"/>
    <w:rsid w:val="00576A8C"/>
    <w:rsid w:val="00580D41"/>
    <w:rsid w:val="005814F5"/>
    <w:rsid w:val="0058164B"/>
    <w:rsid w:val="0058430E"/>
    <w:rsid w:val="00586284"/>
    <w:rsid w:val="00594B53"/>
    <w:rsid w:val="005958EA"/>
    <w:rsid w:val="005A0557"/>
    <w:rsid w:val="005A0CC3"/>
    <w:rsid w:val="005A20E0"/>
    <w:rsid w:val="005A3DC5"/>
    <w:rsid w:val="005A5A24"/>
    <w:rsid w:val="005A683E"/>
    <w:rsid w:val="005B519D"/>
    <w:rsid w:val="005C028A"/>
    <w:rsid w:val="005C0399"/>
    <w:rsid w:val="005C124F"/>
    <w:rsid w:val="005C29CC"/>
    <w:rsid w:val="005C33D1"/>
    <w:rsid w:val="005C4501"/>
    <w:rsid w:val="005C511F"/>
    <w:rsid w:val="005C584D"/>
    <w:rsid w:val="005C7FAC"/>
    <w:rsid w:val="005D0D9C"/>
    <w:rsid w:val="005D0EC6"/>
    <w:rsid w:val="005D136D"/>
    <w:rsid w:val="005D2822"/>
    <w:rsid w:val="005D2AC5"/>
    <w:rsid w:val="005D30F9"/>
    <w:rsid w:val="005D4AFE"/>
    <w:rsid w:val="005D6232"/>
    <w:rsid w:val="005D6955"/>
    <w:rsid w:val="005D719D"/>
    <w:rsid w:val="005E302D"/>
    <w:rsid w:val="005E3CFA"/>
    <w:rsid w:val="005E48E4"/>
    <w:rsid w:val="005E5454"/>
    <w:rsid w:val="005E752A"/>
    <w:rsid w:val="005F113E"/>
    <w:rsid w:val="005F398C"/>
    <w:rsid w:val="005F4957"/>
    <w:rsid w:val="005F5016"/>
    <w:rsid w:val="005F5304"/>
    <w:rsid w:val="005F5D1D"/>
    <w:rsid w:val="005F747F"/>
    <w:rsid w:val="005F799B"/>
    <w:rsid w:val="005F7A30"/>
    <w:rsid w:val="00601528"/>
    <w:rsid w:val="00603932"/>
    <w:rsid w:val="00603EC2"/>
    <w:rsid w:val="00603F39"/>
    <w:rsid w:val="00604690"/>
    <w:rsid w:val="00606C74"/>
    <w:rsid w:val="00611A6C"/>
    <w:rsid w:val="006168B0"/>
    <w:rsid w:val="00617152"/>
    <w:rsid w:val="00625154"/>
    <w:rsid w:val="0062709B"/>
    <w:rsid w:val="006300AC"/>
    <w:rsid w:val="006428A0"/>
    <w:rsid w:val="006434AF"/>
    <w:rsid w:val="006441DB"/>
    <w:rsid w:val="00644D0B"/>
    <w:rsid w:val="00645078"/>
    <w:rsid w:val="00645ABA"/>
    <w:rsid w:val="00647FC1"/>
    <w:rsid w:val="006506F7"/>
    <w:rsid w:val="00650BAC"/>
    <w:rsid w:val="00651F12"/>
    <w:rsid w:val="006539B5"/>
    <w:rsid w:val="0065797E"/>
    <w:rsid w:val="006611E4"/>
    <w:rsid w:val="00661456"/>
    <w:rsid w:val="00665B4C"/>
    <w:rsid w:val="00666B45"/>
    <w:rsid w:val="00667EEB"/>
    <w:rsid w:val="006717BF"/>
    <w:rsid w:val="00671D24"/>
    <w:rsid w:val="00673437"/>
    <w:rsid w:val="0067754D"/>
    <w:rsid w:val="00682BFD"/>
    <w:rsid w:val="00684C1C"/>
    <w:rsid w:val="006870D9"/>
    <w:rsid w:val="00687A96"/>
    <w:rsid w:val="00694FD2"/>
    <w:rsid w:val="006A11B8"/>
    <w:rsid w:val="006A1C7A"/>
    <w:rsid w:val="006A502C"/>
    <w:rsid w:val="006A5779"/>
    <w:rsid w:val="006A603C"/>
    <w:rsid w:val="006A7382"/>
    <w:rsid w:val="006A7CEC"/>
    <w:rsid w:val="006B0350"/>
    <w:rsid w:val="006B1FC6"/>
    <w:rsid w:val="006B21EE"/>
    <w:rsid w:val="006B2EAB"/>
    <w:rsid w:val="006B6B98"/>
    <w:rsid w:val="006B6F26"/>
    <w:rsid w:val="006C14AD"/>
    <w:rsid w:val="006C2E65"/>
    <w:rsid w:val="006C5712"/>
    <w:rsid w:val="006C67E6"/>
    <w:rsid w:val="006C730F"/>
    <w:rsid w:val="006D0408"/>
    <w:rsid w:val="006D31CC"/>
    <w:rsid w:val="006D3211"/>
    <w:rsid w:val="006D4B63"/>
    <w:rsid w:val="006D518A"/>
    <w:rsid w:val="006D6105"/>
    <w:rsid w:val="006D77AD"/>
    <w:rsid w:val="006D799E"/>
    <w:rsid w:val="006E0269"/>
    <w:rsid w:val="006E0C02"/>
    <w:rsid w:val="006E4929"/>
    <w:rsid w:val="006E4931"/>
    <w:rsid w:val="006F0500"/>
    <w:rsid w:val="006F2BD6"/>
    <w:rsid w:val="006F2F0C"/>
    <w:rsid w:val="006F374B"/>
    <w:rsid w:val="006F421F"/>
    <w:rsid w:val="006F46AB"/>
    <w:rsid w:val="006F6610"/>
    <w:rsid w:val="006F69C9"/>
    <w:rsid w:val="006F6D89"/>
    <w:rsid w:val="00700047"/>
    <w:rsid w:val="00703CD7"/>
    <w:rsid w:val="00704491"/>
    <w:rsid w:val="007049C3"/>
    <w:rsid w:val="00704B1B"/>
    <w:rsid w:val="007126C6"/>
    <w:rsid w:val="0071453E"/>
    <w:rsid w:val="00714CF2"/>
    <w:rsid w:val="00721194"/>
    <w:rsid w:val="0072475B"/>
    <w:rsid w:val="0072745F"/>
    <w:rsid w:val="00727DB9"/>
    <w:rsid w:val="00730652"/>
    <w:rsid w:val="00731576"/>
    <w:rsid w:val="00731DEA"/>
    <w:rsid w:val="00731E77"/>
    <w:rsid w:val="0073298A"/>
    <w:rsid w:val="00733DEC"/>
    <w:rsid w:val="007361B4"/>
    <w:rsid w:val="0073656B"/>
    <w:rsid w:val="00736E5D"/>
    <w:rsid w:val="007403C0"/>
    <w:rsid w:val="007405F7"/>
    <w:rsid w:val="00741B24"/>
    <w:rsid w:val="007432FE"/>
    <w:rsid w:val="00743F40"/>
    <w:rsid w:val="007444F5"/>
    <w:rsid w:val="00745FEF"/>
    <w:rsid w:val="00746308"/>
    <w:rsid w:val="00752247"/>
    <w:rsid w:val="00753517"/>
    <w:rsid w:val="00756585"/>
    <w:rsid w:val="0076076D"/>
    <w:rsid w:val="00765280"/>
    <w:rsid w:val="007662B8"/>
    <w:rsid w:val="00773D47"/>
    <w:rsid w:val="00775C2A"/>
    <w:rsid w:val="00775D7B"/>
    <w:rsid w:val="00783004"/>
    <w:rsid w:val="007865ED"/>
    <w:rsid w:val="00791057"/>
    <w:rsid w:val="00791C67"/>
    <w:rsid w:val="007921AE"/>
    <w:rsid w:val="0079269B"/>
    <w:rsid w:val="007931DD"/>
    <w:rsid w:val="00794732"/>
    <w:rsid w:val="007A258E"/>
    <w:rsid w:val="007A6631"/>
    <w:rsid w:val="007B121D"/>
    <w:rsid w:val="007B182D"/>
    <w:rsid w:val="007B3240"/>
    <w:rsid w:val="007B464E"/>
    <w:rsid w:val="007B4E09"/>
    <w:rsid w:val="007B5B44"/>
    <w:rsid w:val="007B7ABB"/>
    <w:rsid w:val="007C2698"/>
    <w:rsid w:val="007C3148"/>
    <w:rsid w:val="007C4C2F"/>
    <w:rsid w:val="007C4DFB"/>
    <w:rsid w:val="007C5F08"/>
    <w:rsid w:val="007C6D00"/>
    <w:rsid w:val="007D07AD"/>
    <w:rsid w:val="007D0A9B"/>
    <w:rsid w:val="007D24E5"/>
    <w:rsid w:val="007D3256"/>
    <w:rsid w:val="007D4D3F"/>
    <w:rsid w:val="007D5A67"/>
    <w:rsid w:val="007E1DE6"/>
    <w:rsid w:val="007E204A"/>
    <w:rsid w:val="007E2801"/>
    <w:rsid w:val="007E427D"/>
    <w:rsid w:val="007E4594"/>
    <w:rsid w:val="007E47FC"/>
    <w:rsid w:val="007E7311"/>
    <w:rsid w:val="007E741B"/>
    <w:rsid w:val="007F1BE2"/>
    <w:rsid w:val="007F27F9"/>
    <w:rsid w:val="007F2CD1"/>
    <w:rsid w:val="007F3E14"/>
    <w:rsid w:val="007F5818"/>
    <w:rsid w:val="007F795D"/>
    <w:rsid w:val="008007F3"/>
    <w:rsid w:val="00800F13"/>
    <w:rsid w:val="00802825"/>
    <w:rsid w:val="00805C2F"/>
    <w:rsid w:val="00805E88"/>
    <w:rsid w:val="008130BA"/>
    <w:rsid w:val="00813E89"/>
    <w:rsid w:val="00815534"/>
    <w:rsid w:val="0081666D"/>
    <w:rsid w:val="00816961"/>
    <w:rsid w:val="00821FD3"/>
    <w:rsid w:val="00822DE6"/>
    <w:rsid w:val="008259D0"/>
    <w:rsid w:val="00825AC9"/>
    <w:rsid w:val="00826E3F"/>
    <w:rsid w:val="008276AE"/>
    <w:rsid w:val="00827AEE"/>
    <w:rsid w:val="00832E84"/>
    <w:rsid w:val="00833BEB"/>
    <w:rsid w:val="00834BDB"/>
    <w:rsid w:val="0083692D"/>
    <w:rsid w:val="008400A1"/>
    <w:rsid w:val="008401F3"/>
    <w:rsid w:val="0084149B"/>
    <w:rsid w:val="00842652"/>
    <w:rsid w:val="00842B31"/>
    <w:rsid w:val="00844F2C"/>
    <w:rsid w:val="00846A29"/>
    <w:rsid w:val="00847948"/>
    <w:rsid w:val="00847CD2"/>
    <w:rsid w:val="00850741"/>
    <w:rsid w:val="00851916"/>
    <w:rsid w:val="00853B29"/>
    <w:rsid w:val="00855306"/>
    <w:rsid w:val="00861D96"/>
    <w:rsid w:val="0086447C"/>
    <w:rsid w:val="008672F5"/>
    <w:rsid w:val="00870CF1"/>
    <w:rsid w:val="00871B2A"/>
    <w:rsid w:val="0087314C"/>
    <w:rsid w:val="00873994"/>
    <w:rsid w:val="00876A21"/>
    <w:rsid w:val="00881589"/>
    <w:rsid w:val="008818AD"/>
    <w:rsid w:val="008828AC"/>
    <w:rsid w:val="0088417C"/>
    <w:rsid w:val="00886FF8"/>
    <w:rsid w:val="00894E33"/>
    <w:rsid w:val="00894FB1"/>
    <w:rsid w:val="0089709D"/>
    <w:rsid w:val="00897851"/>
    <w:rsid w:val="00897BE5"/>
    <w:rsid w:val="008A082E"/>
    <w:rsid w:val="008A1604"/>
    <w:rsid w:val="008A1C26"/>
    <w:rsid w:val="008A4E43"/>
    <w:rsid w:val="008B26CA"/>
    <w:rsid w:val="008B3190"/>
    <w:rsid w:val="008B3E12"/>
    <w:rsid w:val="008B5070"/>
    <w:rsid w:val="008B51B6"/>
    <w:rsid w:val="008B7BBD"/>
    <w:rsid w:val="008C02E2"/>
    <w:rsid w:val="008C0CA2"/>
    <w:rsid w:val="008C1966"/>
    <w:rsid w:val="008C1B13"/>
    <w:rsid w:val="008C1C16"/>
    <w:rsid w:val="008C28F2"/>
    <w:rsid w:val="008C2951"/>
    <w:rsid w:val="008D135A"/>
    <w:rsid w:val="008D2DD9"/>
    <w:rsid w:val="008D2E8C"/>
    <w:rsid w:val="008D4643"/>
    <w:rsid w:val="008D46A5"/>
    <w:rsid w:val="008D4821"/>
    <w:rsid w:val="008D64E5"/>
    <w:rsid w:val="008D6B43"/>
    <w:rsid w:val="008D77D2"/>
    <w:rsid w:val="008D790E"/>
    <w:rsid w:val="008D7B0C"/>
    <w:rsid w:val="008E1E8D"/>
    <w:rsid w:val="008E44F3"/>
    <w:rsid w:val="008E451F"/>
    <w:rsid w:val="008E4854"/>
    <w:rsid w:val="008E4E02"/>
    <w:rsid w:val="008E633E"/>
    <w:rsid w:val="008E7282"/>
    <w:rsid w:val="008F2449"/>
    <w:rsid w:val="008F250C"/>
    <w:rsid w:val="008F42EA"/>
    <w:rsid w:val="008F76A3"/>
    <w:rsid w:val="00900017"/>
    <w:rsid w:val="00900A9F"/>
    <w:rsid w:val="00900EEB"/>
    <w:rsid w:val="00902C99"/>
    <w:rsid w:val="0090510F"/>
    <w:rsid w:val="009064D8"/>
    <w:rsid w:val="009122E8"/>
    <w:rsid w:val="00913606"/>
    <w:rsid w:val="009143E3"/>
    <w:rsid w:val="009162CC"/>
    <w:rsid w:val="00917662"/>
    <w:rsid w:val="009203BD"/>
    <w:rsid w:val="009206C4"/>
    <w:rsid w:val="009213F9"/>
    <w:rsid w:val="00922C35"/>
    <w:rsid w:val="00922E25"/>
    <w:rsid w:val="00924FB5"/>
    <w:rsid w:val="00925C04"/>
    <w:rsid w:val="00927F54"/>
    <w:rsid w:val="009305DA"/>
    <w:rsid w:val="00930B1D"/>
    <w:rsid w:val="00930ECF"/>
    <w:rsid w:val="00932E55"/>
    <w:rsid w:val="00933180"/>
    <w:rsid w:val="00933A5C"/>
    <w:rsid w:val="00934608"/>
    <w:rsid w:val="00934D2C"/>
    <w:rsid w:val="0093698B"/>
    <w:rsid w:val="00937A26"/>
    <w:rsid w:val="00937F2D"/>
    <w:rsid w:val="009402DB"/>
    <w:rsid w:val="00940BC5"/>
    <w:rsid w:val="00941B69"/>
    <w:rsid w:val="00942251"/>
    <w:rsid w:val="0094348E"/>
    <w:rsid w:val="00943B5A"/>
    <w:rsid w:val="00943F9C"/>
    <w:rsid w:val="00944FF3"/>
    <w:rsid w:val="00945131"/>
    <w:rsid w:val="0094620B"/>
    <w:rsid w:val="00946B50"/>
    <w:rsid w:val="00950932"/>
    <w:rsid w:val="00950FD7"/>
    <w:rsid w:val="00952FED"/>
    <w:rsid w:val="0095365F"/>
    <w:rsid w:val="00955BA5"/>
    <w:rsid w:val="00957224"/>
    <w:rsid w:val="00957469"/>
    <w:rsid w:val="00957E25"/>
    <w:rsid w:val="00960919"/>
    <w:rsid w:val="00961BF1"/>
    <w:rsid w:val="00962E99"/>
    <w:rsid w:val="009640E5"/>
    <w:rsid w:val="0096601F"/>
    <w:rsid w:val="00970432"/>
    <w:rsid w:val="009716F1"/>
    <w:rsid w:val="009732E3"/>
    <w:rsid w:val="00976B3D"/>
    <w:rsid w:val="00977CB5"/>
    <w:rsid w:val="00980C32"/>
    <w:rsid w:val="009827C9"/>
    <w:rsid w:val="0098309B"/>
    <w:rsid w:val="009833C2"/>
    <w:rsid w:val="0098683E"/>
    <w:rsid w:val="009875F2"/>
    <w:rsid w:val="00991A6A"/>
    <w:rsid w:val="009921E6"/>
    <w:rsid w:val="00992ADD"/>
    <w:rsid w:val="00992F7D"/>
    <w:rsid w:val="009942EC"/>
    <w:rsid w:val="009946B4"/>
    <w:rsid w:val="00995010"/>
    <w:rsid w:val="00995186"/>
    <w:rsid w:val="009A1F34"/>
    <w:rsid w:val="009A3A53"/>
    <w:rsid w:val="009A5F7B"/>
    <w:rsid w:val="009A7260"/>
    <w:rsid w:val="009A7431"/>
    <w:rsid w:val="009A7D9E"/>
    <w:rsid w:val="009A7E35"/>
    <w:rsid w:val="009B0B7A"/>
    <w:rsid w:val="009B0D9B"/>
    <w:rsid w:val="009B2103"/>
    <w:rsid w:val="009B2853"/>
    <w:rsid w:val="009B4773"/>
    <w:rsid w:val="009B74A6"/>
    <w:rsid w:val="009B7EE1"/>
    <w:rsid w:val="009C182C"/>
    <w:rsid w:val="009C5495"/>
    <w:rsid w:val="009C65B0"/>
    <w:rsid w:val="009C71DB"/>
    <w:rsid w:val="009C789B"/>
    <w:rsid w:val="009D00CC"/>
    <w:rsid w:val="009D1C3B"/>
    <w:rsid w:val="009D20D2"/>
    <w:rsid w:val="009D3E76"/>
    <w:rsid w:val="009D64F6"/>
    <w:rsid w:val="009E022C"/>
    <w:rsid w:val="009E09F4"/>
    <w:rsid w:val="009E0AC4"/>
    <w:rsid w:val="009E1755"/>
    <w:rsid w:val="009E5E01"/>
    <w:rsid w:val="009E75E6"/>
    <w:rsid w:val="009F6704"/>
    <w:rsid w:val="00A00207"/>
    <w:rsid w:val="00A01AF0"/>
    <w:rsid w:val="00A01B67"/>
    <w:rsid w:val="00A103FA"/>
    <w:rsid w:val="00A10B46"/>
    <w:rsid w:val="00A111C9"/>
    <w:rsid w:val="00A12ED3"/>
    <w:rsid w:val="00A13935"/>
    <w:rsid w:val="00A14BF7"/>
    <w:rsid w:val="00A2197F"/>
    <w:rsid w:val="00A221D5"/>
    <w:rsid w:val="00A23559"/>
    <w:rsid w:val="00A250BE"/>
    <w:rsid w:val="00A25C0C"/>
    <w:rsid w:val="00A269AD"/>
    <w:rsid w:val="00A305C4"/>
    <w:rsid w:val="00A330E7"/>
    <w:rsid w:val="00A349E7"/>
    <w:rsid w:val="00A350DF"/>
    <w:rsid w:val="00A37AD2"/>
    <w:rsid w:val="00A40D36"/>
    <w:rsid w:val="00A40DF0"/>
    <w:rsid w:val="00A454D8"/>
    <w:rsid w:val="00A465CE"/>
    <w:rsid w:val="00A51D62"/>
    <w:rsid w:val="00A53C8F"/>
    <w:rsid w:val="00A5485E"/>
    <w:rsid w:val="00A55914"/>
    <w:rsid w:val="00A55B8F"/>
    <w:rsid w:val="00A57AFB"/>
    <w:rsid w:val="00A57DA1"/>
    <w:rsid w:val="00A66896"/>
    <w:rsid w:val="00A66FDD"/>
    <w:rsid w:val="00A67AE2"/>
    <w:rsid w:val="00A7129B"/>
    <w:rsid w:val="00A74389"/>
    <w:rsid w:val="00A74CE6"/>
    <w:rsid w:val="00A74F77"/>
    <w:rsid w:val="00A800D7"/>
    <w:rsid w:val="00A80522"/>
    <w:rsid w:val="00A809DC"/>
    <w:rsid w:val="00A81FBC"/>
    <w:rsid w:val="00A82CD2"/>
    <w:rsid w:val="00A90199"/>
    <w:rsid w:val="00A90B8F"/>
    <w:rsid w:val="00A936D9"/>
    <w:rsid w:val="00A95019"/>
    <w:rsid w:val="00A96F6B"/>
    <w:rsid w:val="00AA45BA"/>
    <w:rsid w:val="00AB11A0"/>
    <w:rsid w:val="00AB54EF"/>
    <w:rsid w:val="00AB5AC5"/>
    <w:rsid w:val="00AC0327"/>
    <w:rsid w:val="00AC1F03"/>
    <w:rsid w:val="00AC2E22"/>
    <w:rsid w:val="00AC3AD9"/>
    <w:rsid w:val="00AC540E"/>
    <w:rsid w:val="00AC7589"/>
    <w:rsid w:val="00AD04DB"/>
    <w:rsid w:val="00AD20D9"/>
    <w:rsid w:val="00AD220A"/>
    <w:rsid w:val="00AD2761"/>
    <w:rsid w:val="00AD2AE6"/>
    <w:rsid w:val="00AE12CE"/>
    <w:rsid w:val="00AE1964"/>
    <w:rsid w:val="00AE1F89"/>
    <w:rsid w:val="00AE1FCD"/>
    <w:rsid w:val="00AE2DB6"/>
    <w:rsid w:val="00AE31CD"/>
    <w:rsid w:val="00AE3EB0"/>
    <w:rsid w:val="00AE4AEE"/>
    <w:rsid w:val="00AE4FA0"/>
    <w:rsid w:val="00AF45F5"/>
    <w:rsid w:val="00AF4813"/>
    <w:rsid w:val="00B00423"/>
    <w:rsid w:val="00B113B0"/>
    <w:rsid w:val="00B14EFC"/>
    <w:rsid w:val="00B151E4"/>
    <w:rsid w:val="00B21DC5"/>
    <w:rsid w:val="00B2416E"/>
    <w:rsid w:val="00B2459A"/>
    <w:rsid w:val="00B27865"/>
    <w:rsid w:val="00B33B59"/>
    <w:rsid w:val="00B33BA8"/>
    <w:rsid w:val="00B36850"/>
    <w:rsid w:val="00B40629"/>
    <w:rsid w:val="00B41F18"/>
    <w:rsid w:val="00B424F0"/>
    <w:rsid w:val="00B42C85"/>
    <w:rsid w:val="00B44248"/>
    <w:rsid w:val="00B445D2"/>
    <w:rsid w:val="00B44CFC"/>
    <w:rsid w:val="00B452D5"/>
    <w:rsid w:val="00B456EF"/>
    <w:rsid w:val="00B466D1"/>
    <w:rsid w:val="00B474DC"/>
    <w:rsid w:val="00B47570"/>
    <w:rsid w:val="00B5605A"/>
    <w:rsid w:val="00B60A8F"/>
    <w:rsid w:val="00B63964"/>
    <w:rsid w:val="00B64243"/>
    <w:rsid w:val="00B65835"/>
    <w:rsid w:val="00B675D5"/>
    <w:rsid w:val="00B70CFF"/>
    <w:rsid w:val="00B70F0A"/>
    <w:rsid w:val="00B72051"/>
    <w:rsid w:val="00B72A63"/>
    <w:rsid w:val="00B72D00"/>
    <w:rsid w:val="00B759D8"/>
    <w:rsid w:val="00B76041"/>
    <w:rsid w:val="00B77866"/>
    <w:rsid w:val="00B806F8"/>
    <w:rsid w:val="00B80A84"/>
    <w:rsid w:val="00B83446"/>
    <w:rsid w:val="00B84846"/>
    <w:rsid w:val="00B868A4"/>
    <w:rsid w:val="00B87BC7"/>
    <w:rsid w:val="00B9108D"/>
    <w:rsid w:val="00B91500"/>
    <w:rsid w:val="00B91C73"/>
    <w:rsid w:val="00B9515E"/>
    <w:rsid w:val="00B96568"/>
    <w:rsid w:val="00B96F45"/>
    <w:rsid w:val="00BA032C"/>
    <w:rsid w:val="00BA0988"/>
    <w:rsid w:val="00BA2008"/>
    <w:rsid w:val="00BB336D"/>
    <w:rsid w:val="00BB47CC"/>
    <w:rsid w:val="00BB7E94"/>
    <w:rsid w:val="00BC0931"/>
    <w:rsid w:val="00BC1025"/>
    <w:rsid w:val="00BC21E3"/>
    <w:rsid w:val="00BC340A"/>
    <w:rsid w:val="00BC6232"/>
    <w:rsid w:val="00BC732D"/>
    <w:rsid w:val="00BD0F3C"/>
    <w:rsid w:val="00BD2EF1"/>
    <w:rsid w:val="00BD38D6"/>
    <w:rsid w:val="00BD48F0"/>
    <w:rsid w:val="00BD6052"/>
    <w:rsid w:val="00BD60DE"/>
    <w:rsid w:val="00BD643D"/>
    <w:rsid w:val="00BD6F76"/>
    <w:rsid w:val="00BE246F"/>
    <w:rsid w:val="00BE3CD9"/>
    <w:rsid w:val="00BE4338"/>
    <w:rsid w:val="00BE49A2"/>
    <w:rsid w:val="00BE4CB6"/>
    <w:rsid w:val="00BF1505"/>
    <w:rsid w:val="00BF38DF"/>
    <w:rsid w:val="00BF6067"/>
    <w:rsid w:val="00BF615C"/>
    <w:rsid w:val="00C00558"/>
    <w:rsid w:val="00C017D3"/>
    <w:rsid w:val="00C028E0"/>
    <w:rsid w:val="00C03427"/>
    <w:rsid w:val="00C05473"/>
    <w:rsid w:val="00C058AC"/>
    <w:rsid w:val="00C06543"/>
    <w:rsid w:val="00C12752"/>
    <w:rsid w:val="00C12AE6"/>
    <w:rsid w:val="00C137F7"/>
    <w:rsid w:val="00C13936"/>
    <w:rsid w:val="00C14C4D"/>
    <w:rsid w:val="00C1616B"/>
    <w:rsid w:val="00C16418"/>
    <w:rsid w:val="00C16D4B"/>
    <w:rsid w:val="00C172E8"/>
    <w:rsid w:val="00C179B7"/>
    <w:rsid w:val="00C20E71"/>
    <w:rsid w:val="00C23A30"/>
    <w:rsid w:val="00C243AA"/>
    <w:rsid w:val="00C2476C"/>
    <w:rsid w:val="00C24E88"/>
    <w:rsid w:val="00C25C43"/>
    <w:rsid w:val="00C25E49"/>
    <w:rsid w:val="00C26485"/>
    <w:rsid w:val="00C26951"/>
    <w:rsid w:val="00C27686"/>
    <w:rsid w:val="00C27CCE"/>
    <w:rsid w:val="00C33549"/>
    <w:rsid w:val="00C34EC1"/>
    <w:rsid w:val="00C37400"/>
    <w:rsid w:val="00C42845"/>
    <w:rsid w:val="00C43E8A"/>
    <w:rsid w:val="00C45B20"/>
    <w:rsid w:val="00C465A9"/>
    <w:rsid w:val="00C47885"/>
    <w:rsid w:val="00C50411"/>
    <w:rsid w:val="00C52056"/>
    <w:rsid w:val="00C52435"/>
    <w:rsid w:val="00C541BE"/>
    <w:rsid w:val="00C54AE0"/>
    <w:rsid w:val="00C55149"/>
    <w:rsid w:val="00C56077"/>
    <w:rsid w:val="00C5747F"/>
    <w:rsid w:val="00C618A7"/>
    <w:rsid w:val="00C62D96"/>
    <w:rsid w:val="00C63367"/>
    <w:rsid w:val="00C63CCC"/>
    <w:rsid w:val="00C6738F"/>
    <w:rsid w:val="00C703B9"/>
    <w:rsid w:val="00C72FFB"/>
    <w:rsid w:val="00C730A4"/>
    <w:rsid w:val="00C7318D"/>
    <w:rsid w:val="00C74D1D"/>
    <w:rsid w:val="00C75C88"/>
    <w:rsid w:val="00C77948"/>
    <w:rsid w:val="00C82E43"/>
    <w:rsid w:val="00C84747"/>
    <w:rsid w:val="00C84752"/>
    <w:rsid w:val="00C8476D"/>
    <w:rsid w:val="00C84F5F"/>
    <w:rsid w:val="00C8551E"/>
    <w:rsid w:val="00C87606"/>
    <w:rsid w:val="00C91057"/>
    <w:rsid w:val="00C91CF5"/>
    <w:rsid w:val="00C91DAA"/>
    <w:rsid w:val="00C922BC"/>
    <w:rsid w:val="00C925FE"/>
    <w:rsid w:val="00C93144"/>
    <w:rsid w:val="00C93CA6"/>
    <w:rsid w:val="00C958A6"/>
    <w:rsid w:val="00C958C6"/>
    <w:rsid w:val="00CA052B"/>
    <w:rsid w:val="00CA4B6A"/>
    <w:rsid w:val="00CB04B3"/>
    <w:rsid w:val="00CB1EB4"/>
    <w:rsid w:val="00CB2301"/>
    <w:rsid w:val="00CB372F"/>
    <w:rsid w:val="00CB4A50"/>
    <w:rsid w:val="00CB5120"/>
    <w:rsid w:val="00CB6CEC"/>
    <w:rsid w:val="00CB75B8"/>
    <w:rsid w:val="00CC0098"/>
    <w:rsid w:val="00CC122B"/>
    <w:rsid w:val="00CC68BF"/>
    <w:rsid w:val="00CC7AB5"/>
    <w:rsid w:val="00CC7F9A"/>
    <w:rsid w:val="00CD225E"/>
    <w:rsid w:val="00CD5335"/>
    <w:rsid w:val="00CE1BFA"/>
    <w:rsid w:val="00CE229F"/>
    <w:rsid w:val="00CE51E3"/>
    <w:rsid w:val="00CE5AF1"/>
    <w:rsid w:val="00CE7EB8"/>
    <w:rsid w:val="00CF08C5"/>
    <w:rsid w:val="00CF476A"/>
    <w:rsid w:val="00CF72D7"/>
    <w:rsid w:val="00D00D5B"/>
    <w:rsid w:val="00D03961"/>
    <w:rsid w:val="00D03CF1"/>
    <w:rsid w:val="00D05E57"/>
    <w:rsid w:val="00D05FD8"/>
    <w:rsid w:val="00D102D5"/>
    <w:rsid w:val="00D1288B"/>
    <w:rsid w:val="00D14E2A"/>
    <w:rsid w:val="00D17247"/>
    <w:rsid w:val="00D17B84"/>
    <w:rsid w:val="00D17DC6"/>
    <w:rsid w:val="00D21D9A"/>
    <w:rsid w:val="00D257C4"/>
    <w:rsid w:val="00D25882"/>
    <w:rsid w:val="00D25ACE"/>
    <w:rsid w:val="00D26C1A"/>
    <w:rsid w:val="00D2722E"/>
    <w:rsid w:val="00D3228C"/>
    <w:rsid w:val="00D32572"/>
    <w:rsid w:val="00D32B69"/>
    <w:rsid w:val="00D342DF"/>
    <w:rsid w:val="00D343EF"/>
    <w:rsid w:val="00D40F8C"/>
    <w:rsid w:val="00D42281"/>
    <w:rsid w:val="00D4783C"/>
    <w:rsid w:val="00D510AF"/>
    <w:rsid w:val="00D52585"/>
    <w:rsid w:val="00D53BB2"/>
    <w:rsid w:val="00D56E52"/>
    <w:rsid w:val="00D61E15"/>
    <w:rsid w:val="00D62C35"/>
    <w:rsid w:val="00D66A5D"/>
    <w:rsid w:val="00D70012"/>
    <w:rsid w:val="00D71B6A"/>
    <w:rsid w:val="00D73354"/>
    <w:rsid w:val="00D7372C"/>
    <w:rsid w:val="00D757A1"/>
    <w:rsid w:val="00D76491"/>
    <w:rsid w:val="00D76647"/>
    <w:rsid w:val="00D81CEA"/>
    <w:rsid w:val="00D8595B"/>
    <w:rsid w:val="00D85C23"/>
    <w:rsid w:val="00D8650A"/>
    <w:rsid w:val="00D86EDB"/>
    <w:rsid w:val="00D905DD"/>
    <w:rsid w:val="00D90659"/>
    <w:rsid w:val="00D90BC7"/>
    <w:rsid w:val="00D92D5F"/>
    <w:rsid w:val="00D93E0F"/>
    <w:rsid w:val="00D94E3A"/>
    <w:rsid w:val="00D95B68"/>
    <w:rsid w:val="00D96CDB"/>
    <w:rsid w:val="00D96E13"/>
    <w:rsid w:val="00DA0428"/>
    <w:rsid w:val="00DA0735"/>
    <w:rsid w:val="00DA144D"/>
    <w:rsid w:val="00DA369A"/>
    <w:rsid w:val="00DA7E41"/>
    <w:rsid w:val="00DB0AFD"/>
    <w:rsid w:val="00DB0F0E"/>
    <w:rsid w:val="00DB1FD4"/>
    <w:rsid w:val="00DB2CE5"/>
    <w:rsid w:val="00DB43C1"/>
    <w:rsid w:val="00DB69FE"/>
    <w:rsid w:val="00DB731B"/>
    <w:rsid w:val="00DB7DF1"/>
    <w:rsid w:val="00DB7FAA"/>
    <w:rsid w:val="00DC0501"/>
    <w:rsid w:val="00DC0BB3"/>
    <w:rsid w:val="00DC17F5"/>
    <w:rsid w:val="00DC233B"/>
    <w:rsid w:val="00DC250C"/>
    <w:rsid w:val="00DC42DA"/>
    <w:rsid w:val="00DC6E45"/>
    <w:rsid w:val="00DD0DDA"/>
    <w:rsid w:val="00DD24B2"/>
    <w:rsid w:val="00DD3B43"/>
    <w:rsid w:val="00DD3FC1"/>
    <w:rsid w:val="00DD3FEC"/>
    <w:rsid w:val="00DD43C3"/>
    <w:rsid w:val="00DE028C"/>
    <w:rsid w:val="00DE1868"/>
    <w:rsid w:val="00DE1928"/>
    <w:rsid w:val="00DE1F85"/>
    <w:rsid w:val="00DE3320"/>
    <w:rsid w:val="00DE3F87"/>
    <w:rsid w:val="00DE4F93"/>
    <w:rsid w:val="00DE586C"/>
    <w:rsid w:val="00DE5966"/>
    <w:rsid w:val="00DE684B"/>
    <w:rsid w:val="00DE7030"/>
    <w:rsid w:val="00DF0F58"/>
    <w:rsid w:val="00DF1A6A"/>
    <w:rsid w:val="00DF1F2E"/>
    <w:rsid w:val="00DF2C81"/>
    <w:rsid w:val="00DF2F19"/>
    <w:rsid w:val="00DF3490"/>
    <w:rsid w:val="00DF4557"/>
    <w:rsid w:val="00DF56E1"/>
    <w:rsid w:val="00DF72A8"/>
    <w:rsid w:val="00DF7F2D"/>
    <w:rsid w:val="00E0106A"/>
    <w:rsid w:val="00E01E6F"/>
    <w:rsid w:val="00E01F60"/>
    <w:rsid w:val="00E02269"/>
    <w:rsid w:val="00E02535"/>
    <w:rsid w:val="00E02E97"/>
    <w:rsid w:val="00E032DC"/>
    <w:rsid w:val="00E035B3"/>
    <w:rsid w:val="00E03D7C"/>
    <w:rsid w:val="00E0571A"/>
    <w:rsid w:val="00E06F02"/>
    <w:rsid w:val="00E100E0"/>
    <w:rsid w:val="00E10AD7"/>
    <w:rsid w:val="00E1109E"/>
    <w:rsid w:val="00E20503"/>
    <w:rsid w:val="00E21A61"/>
    <w:rsid w:val="00E22B3C"/>
    <w:rsid w:val="00E31ED0"/>
    <w:rsid w:val="00E33FE6"/>
    <w:rsid w:val="00E347C7"/>
    <w:rsid w:val="00E34CDB"/>
    <w:rsid w:val="00E35E69"/>
    <w:rsid w:val="00E3748D"/>
    <w:rsid w:val="00E37CEE"/>
    <w:rsid w:val="00E41114"/>
    <w:rsid w:val="00E42287"/>
    <w:rsid w:val="00E42624"/>
    <w:rsid w:val="00E47C2F"/>
    <w:rsid w:val="00E50CC9"/>
    <w:rsid w:val="00E51494"/>
    <w:rsid w:val="00E52217"/>
    <w:rsid w:val="00E527DA"/>
    <w:rsid w:val="00E65C4A"/>
    <w:rsid w:val="00E66179"/>
    <w:rsid w:val="00E66A8D"/>
    <w:rsid w:val="00E71635"/>
    <w:rsid w:val="00E73E92"/>
    <w:rsid w:val="00E74F0B"/>
    <w:rsid w:val="00E760E0"/>
    <w:rsid w:val="00E7662C"/>
    <w:rsid w:val="00E77C3B"/>
    <w:rsid w:val="00E80118"/>
    <w:rsid w:val="00E85197"/>
    <w:rsid w:val="00E91528"/>
    <w:rsid w:val="00E92C26"/>
    <w:rsid w:val="00E9372F"/>
    <w:rsid w:val="00E93B2D"/>
    <w:rsid w:val="00E93DC9"/>
    <w:rsid w:val="00E94AF2"/>
    <w:rsid w:val="00E94C28"/>
    <w:rsid w:val="00E94F5B"/>
    <w:rsid w:val="00E97D8A"/>
    <w:rsid w:val="00EA0068"/>
    <w:rsid w:val="00EA0BA6"/>
    <w:rsid w:val="00EA154A"/>
    <w:rsid w:val="00EA1ADD"/>
    <w:rsid w:val="00EA1C8D"/>
    <w:rsid w:val="00EA2D65"/>
    <w:rsid w:val="00EB1301"/>
    <w:rsid w:val="00EB3582"/>
    <w:rsid w:val="00EB3931"/>
    <w:rsid w:val="00EB3A6F"/>
    <w:rsid w:val="00EB3DCA"/>
    <w:rsid w:val="00EB45FC"/>
    <w:rsid w:val="00EB7B90"/>
    <w:rsid w:val="00EC35D5"/>
    <w:rsid w:val="00EC6A80"/>
    <w:rsid w:val="00ED00DE"/>
    <w:rsid w:val="00ED098A"/>
    <w:rsid w:val="00ED331D"/>
    <w:rsid w:val="00EE1290"/>
    <w:rsid w:val="00EE3B42"/>
    <w:rsid w:val="00EF0229"/>
    <w:rsid w:val="00EF069D"/>
    <w:rsid w:val="00EF1510"/>
    <w:rsid w:val="00EF2165"/>
    <w:rsid w:val="00EF32C8"/>
    <w:rsid w:val="00EF41EC"/>
    <w:rsid w:val="00EF731C"/>
    <w:rsid w:val="00F00831"/>
    <w:rsid w:val="00F0127B"/>
    <w:rsid w:val="00F01393"/>
    <w:rsid w:val="00F0139C"/>
    <w:rsid w:val="00F02F58"/>
    <w:rsid w:val="00F05C87"/>
    <w:rsid w:val="00F06682"/>
    <w:rsid w:val="00F067DB"/>
    <w:rsid w:val="00F10074"/>
    <w:rsid w:val="00F111E3"/>
    <w:rsid w:val="00F11AFC"/>
    <w:rsid w:val="00F122B5"/>
    <w:rsid w:val="00F137E6"/>
    <w:rsid w:val="00F150ED"/>
    <w:rsid w:val="00F1609E"/>
    <w:rsid w:val="00F201E3"/>
    <w:rsid w:val="00F20616"/>
    <w:rsid w:val="00F21FBF"/>
    <w:rsid w:val="00F26BD6"/>
    <w:rsid w:val="00F279B6"/>
    <w:rsid w:val="00F27C2A"/>
    <w:rsid w:val="00F301FB"/>
    <w:rsid w:val="00F3288A"/>
    <w:rsid w:val="00F34885"/>
    <w:rsid w:val="00F366BE"/>
    <w:rsid w:val="00F41CB9"/>
    <w:rsid w:val="00F41CF9"/>
    <w:rsid w:val="00F42AB9"/>
    <w:rsid w:val="00F44762"/>
    <w:rsid w:val="00F44D8F"/>
    <w:rsid w:val="00F4618A"/>
    <w:rsid w:val="00F4648D"/>
    <w:rsid w:val="00F46B38"/>
    <w:rsid w:val="00F473D2"/>
    <w:rsid w:val="00F512C9"/>
    <w:rsid w:val="00F53544"/>
    <w:rsid w:val="00F53B99"/>
    <w:rsid w:val="00F56684"/>
    <w:rsid w:val="00F56E35"/>
    <w:rsid w:val="00F57AF3"/>
    <w:rsid w:val="00F61C17"/>
    <w:rsid w:val="00F61EE6"/>
    <w:rsid w:val="00F62341"/>
    <w:rsid w:val="00F65144"/>
    <w:rsid w:val="00F70F1E"/>
    <w:rsid w:val="00F713C7"/>
    <w:rsid w:val="00F720B0"/>
    <w:rsid w:val="00F738F5"/>
    <w:rsid w:val="00F74751"/>
    <w:rsid w:val="00F809A2"/>
    <w:rsid w:val="00F8194E"/>
    <w:rsid w:val="00F840F2"/>
    <w:rsid w:val="00F85269"/>
    <w:rsid w:val="00F85818"/>
    <w:rsid w:val="00F859B8"/>
    <w:rsid w:val="00F87218"/>
    <w:rsid w:val="00F904F8"/>
    <w:rsid w:val="00F97187"/>
    <w:rsid w:val="00FA2332"/>
    <w:rsid w:val="00FA2B70"/>
    <w:rsid w:val="00FA2C7C"/>
    <w:rsid w:val="00FA413E"/>
    <w:rsid w:val="00FA472A"/>
    <w:rsid w:val="00FA4B55"/>
    <w:rsid w:val="00FA5868"/>
    <w:rsid w:val="00FA77B2"/>
    <w:rsid w:val="00FB13EE"/>
    <w:rsid w:val="00FB3483"/>
    <w:rsid w:val="00FB55F1"/>
    <w:rsid w:val="00FC00DE"/>
    <w:rsid w:val="00FC5FB7"/>
    <w:rsid w:val="00FC72AA"/>
    <w:rsid w:val="00FC7A06"/>
    <w:rsid w:val="00FD2D6C"/>
    <w:rsid w:val="00FD35D5"/>
    <w:rsid w:val="00FD3ED3"/>
    <w:rsid w:val="00FD50F5"/>
    <w:rsid w:val="00FE0681"/>
    <w:rsid w:val="00FE1968"/>
    <w:rsid w:val="00FE49FC"/>
    <w:rsid w:val="00FE5022"/>
    <w:rsid w:val="00FE5442"/>
    <w:rsid w:val="00FE5D86"/>
    <w:rsid w:val="00FF0C44"/>
    <w:rsid w:val="00FF126D"/>
    <w:rsid w:val="00FF3499"/>
    <w:rsid w:val="00FF3B51"/>
    <w:rsid w:val="00FF3ED0"/>
    <w:rsid w:val="00FF4808"/>
    <w:rsid w:val="00FF54B0"/>
    <w:rsid w:val="00FF57B1"/>
    <w:rsid w:val="00FF5E33"/>
    <w:rsid w:val="00FF61F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EB7AD"/>
  <w15:docId w15:val="{25A04F61-C440-43B7-BF29-CE415A2A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qFormat="1"/>
    <w:lsdException w:name="Subtle Reference" w:locked="1" w:uiPriority="31"/>
    <w:lsdException w:name="Intense Reference" w:locked="1" w:uiPriority="32"/>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semiHidden/>
    <w:rsid w:val="00EA1ADD"/>
    <w:pPr>
      <w:spacing w:after="200" w:line="360" w:lineRule="auto"/>
    </w:pPr>
    <w:rPr>
      <w:rFonts w:ascii="Arial" w:hAnsi="Arial" w:cs="Arial"/>
      <w:sz w:val="22"/>
      <w:szCs w:val="22"/>
      <w:lang w:val="en-GB" w:eastAsia="en-GB"/>
    </w:rPr>
  </w:style>
  <w:style w:type="paragraph" w:styleId="Heading1">
    <w:name w:val="heading 1"/>
    <w:basedOn w:val="Normal"/>
    <w:next w:val="BodyText"/>
    <w:link w:val="Heading1Char"/>
    <w:qFormat/>
    <w:rsid w:val="00EA1ADD"/>
    <w:pPr>
      <w:keepNext/>
      <w:pageBreakBefore/>
      <w:numPr>
        <w:numId w:val="20"/>
      </w:numPr>
      <w:pBdr>
        <w:top w:val="single" w:sz="48" w:space="10" w:color="45A7E1" w:themeColor="accent1"/>
      </w:pBdr>
      <w:spacing w:after="240" w:line="240" w:lineRule="auto"/>
      <w:outlineLvl w:val="0"/>
    </w:pPr>
    <w:rPr>
      <w:rFonts w:eastAsia="Times New Roman" w:cs="Times New Roman"/>
      <w:b/>
      <w:bCs/>
      <w:color w:val="0B1F51"/>
      <w:sz w:val="40"/>
      <w:szCs w:val="20"/>
    </w:rPr>
  </w:style>
  <w:style w:type="paragraph" w:styleId="Heading20">
    <w:name w:val="heading 2"/>
    <w:basedOn w:val="Heading1"/>
    <w:next w:val="BodyText"/>
    <w:link w:val="Heading2Char"/>
    <w:qFormat/>
    <w:rsid w:val="00EA1ADD"/>
    <w:pPr>
      <w:pageBreakBefore w:val="0"/>
      <w:numPr>
        <w:ilvl w:val="1"/>
      </w:numPr>
      <w:pBdr>
        <w:top w:val="none" w:sz="0" w:space="0" w:color="auto"/>
      </w:pBdr>
      <w:spacing w:before="360"/>
      <w:outlineLvl w:val="1"/>
    </w:pPr>
    <w:rPr>
      <w:kern w:val="32"/>
      <w:sz w:val="28"/>
      <w:szCs w:val="28"/>
    </w:rPr>
  </w:style>
  <w:style w:type="paragraph" w:styleId="Heading3">
    <w:name w:val="heading 3"/>
    <w:aliases w:val="Heading OPM 3"/>
    <w:next w:val="BodyText"/>
    <w:link w:val="Heading3Char"/>
    <w:qFormat/>
    <w:rsid w:val="00EA1ADD"/>
    <w:pPr>
      <w:keepNext/>
      <w:numPr>
        <w:ilvl w:val="2"/>
        <w:numId w:val="20"/>
      </w:numPr>
      <w:spacing w:before="360" w:after="240"/>
      <w:outlineLvl w:val="2"/>
    </w:pPr>
    <w:rPr>
      <w:rFonts w:ascii="Arial" w:eastAsia="Helvetica" w:hAnsi="Arial" w:cs="Arial"/>
      <w:b/>
      <w:color w:val="0B1F51"/>
      <w:sz w:val="28"/>
      <w:szCs w:val="20"/>
      <w:lang w:val="en-GB" w:eastAsia="en-GB"/>
    </w:rPr>
  </w:style>
  <w:style w:type="paragraph" w:styleId="Heading4">
    <w:name w:val="heading 4"/>
    <w:next w:val="BodyText"/>
    <w:link w:val="Heading4Char"/>
    <w:qFormat/>
    <w:rsid w:val="00EA1ADD"/>
    <w:pPr>
      <w:keepNext/>
      <w:keepLines/>
      <w:spacing w:before="260" w:after="260"/>
      <w:outlineLvl w:val="3"/>
    </w:pPr>
    <w:rPr>
      <w:rFonts w:ascii="Arial" w:eastAsia="Helvetica" w:hAnsi="Arial" w:cs="Arial"/>
      <w:b/>
      <w:iCs/>
      <w:color w:val="0A1F50" w:themeColor="text2"/>
      <w:szCs w:val="22"/>
      <w:lang w:val="en-GB" w:eastAsia="en-GB"/>
    </w:rPr>
  </w:style>
  <w:style w:type="paragraph" w:styleId="Heading50">
    <w:name w:val="heading 5"/>
    <w:basedOn w:val="Heading4"/>
    <w:next w:val="Normal"/>
    <w:link w:val="Heading5Char"/>
    <w:qFormat/>
    <w:locked/>
    <w:rsid w:val="00EA1ADD"/>
    <w:pPr>
      <w:spacing w:after="60"/>
      <w:outlineLvl w:val="4"/>
    </w:pPr>
    <w:rPr>
      <w:sz w:val="22"/>
    </w:rPr>
  </w:style>
  <w:style w:type="paragraph" w:styleId="Heading6">
    <w:name w:val="heading 6"/>
    <w:basedOn w:val="Heading4"/>
    <w:next w:val="Normal"/>
    <w:link w:val="Heading6Char"/>
    <w:locked/>
    <w:rsid w:val="00EA1ADD"/>
    <w:pPr>
      <w:outlineLvl w:val="5"/>
    </w:pPr>
  </w:style>
  <w:style w:type="paragraph" w:styleId="Heading7">
    <w:name w:val="heading 7"/>
    <w:basedOn w:val="Heading4"/>
    <w:next w:val="Normal"/>
    <w:link w:val="Heading7Char"/>
    <w:locked/>
    <w:rsid w:val="00EA1ADD"/>
    <w:pPr>
      <w:outlineLvl w:val="6"/>
    </w:pPr>
  </w:style>
  <w:style w:type="paragraph" w:styleId="Heading8">
    <w:name w:val="heading 8"/>
    <w:basedOn w:val="Heading4"/>
    <w:next w:val="Normal"/>
    <w:link w:val="Heading8Char"/>
    <w:locked/>
    <w:rsid w:val="00EA1ADD"/>
    <w:pPr>
      <w:outlineLvl w:val="7"/>
    </w:pPr>
  </w:style>
  <w:style w:type="paragraph" w:styleId="Heading9">
    <w:name w:val="heading 9"/>
    <w:basedOn w:val="Heading4"/>
    <w:next w:val="Normal"/>
    <w:link w:val="Heading9Char"/>
    <w:locked/>
    <w:rsid w:val="00EA1A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final">
    <w:name w:val="List bullet final"/>
    <w:basedOn w:val="Normal"/>
    <w:next w:val="Normal"/>
    <w:rsid w:val="00420EDC"/>
    <w:pPr>
      <w:numPr>
        <w:numId w:val="4"/>
      </w:numPr>
      <w:spacing w:line="276" w:lineRule="auto"/>
      <w:ind w:left="357" w:hanging="357"/>
    </w:pPr>
    <w:rPr>
      <w:rFonts w:eastAsia="Times New Roman" w:cs="Times New Roman"/>
      <w:szCs w:val="20"/>
      <w:lang w:eastAsia="en-US"/>
    </w:rPr>
  </w:style>
  <w:style w:type="paragraph" w:customStyle="1" w:styleId="Prelim">
    <w:name w:val="Prelim"/>
    <w:qFormat/>
    <w:rsid w:val="00EA1ADD"/>
    <w:pPr>
      <w:spacing w:after="260"/>
    </w:pPr>
    <w:rPr>
      <w:rFonts w:ascii="Arial" w:hAnsi="Arial" w:cs="Arial"/>
      <w:b/>
      <w:color w:val="0B1F51"/>
      <w:sz w:val="32"/>
      <w:lang w:val="en-GB" w:eastAsia="en-GB"/>
    </w:rPr>
  </w:style>
  <w:style w:type="paragraph" w:styleId="Header">
    <w:name w:val="header"/>
    <w:basedOn w:val="BodyText"/>
    <w:link w:val="HeaderChar"/>
    <w:uiPriority w:val="99"/>
    <w:unhideWhenUsed/>
    <w:qFormat/>
    <w:rsid w:val="00EA1ADD"/>
    <w:pPr>
      <w:pBdr>
        <w:bottom w:val="single" w:sz="4" w:space="1" w:color="auto"/>
      </w:pBdr>
      <w:tabs>
        <w:tab w:val="center" w:pos="4513"/>
        <w:tab w:val="right" w:pos="9026"/>
      </w:tabs>
    </w:pPr>
    <w:rPr>
      <w:noProof/>
      <w:sz w:val="18"/>
      <w:szCs w:val="18"/>
    </w:rPr>
  </w:style>
  <w:style w:type="paragraph" w:customStyle="1" w:styleId="Quotation">
    <w:name w:val="Quotation"/>
    <w:basedOn w:val="Normal"/>
    <w:qFormat/>
    <w:rsid w:val="00EA1ADD"/>
    <w:pPr>
      <w:spacing w:before="260" w:after="260" w:line="240" w:lineRule="auto"/>
      <w:ind w:left="357" w:right="357"/>
    </w:pPr>
  </w:style>
  <w:style w:type="table" w:customStyle="1" w:styleId="OPMTable">
    <w:name w:val="OPM Table"/>
    <w:basedOn w:val="TableNormal"/>
    <w:uiPriority w:val="99"/>
    <w:rsid w:val="00EA1ADD"/>
    <w:pPr>
      <w:spacing w:before="40" w:after="40"/>
    </w:pPr>
    <w:rPr>
      <w:rFonts w:ascii="Arial" w:eastAsia="Times New Roman" w:hAnsi="Arial" w:cs="Times New Roman"/>
      <w:sz w:val="20"/>
      <w:szCs w:val="20"/>
      <w:lang w:val="en-GB" w:eastAsia="en-GB"/>
    </w:rPr>
    <w:tblPr>
      <w:tblBorders>
        <w:top w:val="single" w:sz="2" w:space="0" w:color="45A7E1"/>
        <w:left w:val="single" w:sz="2" w:space="0" w:color="45A7E1"/>
        <w:bottom w:val="single" w:sz="2" w:space="0" w:color="45A7E1"/>
        <w:right w:val="single" w:sz="2" w:space="0" w:color="45A7E1"/>
        <w:insideH w:val="single" w:sz="2" w:space="0" w:color="45A7E1"/>
        <w:insideV w:val="single" w:sz="2" w:space="0" w:color="45A7E1"/>
      </w:tblBorders>
      <w:tblCellMar>
        <w:left w:w="57" w:type="dxa"/>
        <w:right w:w="57" w:type="dxa"/>
      </w:tblCellMar>
    </w:tblPr>
    <w:tcPr>
      <w:shd w:val="clear" w:color="auto" w:fill="DBE4ED"/>
      <w:vAlign w:val="center"/>
    </w:tcPr>
    <w:tblStylePr w:type="firstRow">
      <w:pPr>
        <w:keepNext/>
        <w:wordWrap/>
        <w:spacing w:beforeLines="0" w:beforeAutospacing="0" w:afterLines="0" w:afterAutospacing="0"/>
        <w:contextualSpacing w:val="0"/>
        <w:jc w:val="left"/>
      </w:pPr>
      <w:rPr>
        <w:rFonts w:ascii="Arial" w:hAnsi="Arial"/>
        <w:b/>
        <w:color w:val="FFFFFF" w:themeColor="background1"/>
        <w:sz w:val="20"/>
      </w:rPr>
      <w:tblPr/>
      <w:trPr>
        <w:tblHeader/>
      </w:trPr>
      <w:tcPr>
        <w:shd w:val="clear" w:color="auto" w:fill="0B1F51"/>
      </w:tcPr>
    </w:tblStylePr>
    <w:tblStylePr w:type="lastRow">
      <w:rPr>
        <w:b/>
        <w:i w:val="0"/>
        <w:color w:val="0B1F51"/>
      </w:rPr>
      <w:tblPr/>
      <w:tcPr>
        <w:shd w:val="clear" w:color="auto" w:fill="DBE4ED"/>
      </w:tcPr>
    </w:tblStylePr>
    <w:tblStylePr w:type="firstCol">
      <w:pPr>
        <w:jc w:val="left"/>
      </w:pPr>
      <w:rPr>
        <w:b/>
        <w:color w:val="0B1F51"/>
      </w:rPr>
      <w:tblPr/>
      <w:tcPr>
        <w:shd w:val="clear" w:color="auto" w:fill="DBE4ED"/>
      </w:tcPr>
    </w:tblStylePr>
  </w:style>
  <w:style w:type="character" w:styleId="PageNumber">
    <w:name w:val="page number"/>
    <w:basedOn w:val="DefaultParagraphFont"/>
    <w:uiPriority w:val="99"/>
    <w:unhideWhenUsed/>
    <w:rsid w:val="00EA1ADD"/>
  </w:style>
  <w:style w:type="paragraph" w:styleId="NormalWeb">
    <w:name w:val="Normal (Web)"/>
    <w:basedOn w:val="Normal"/>
    <w:uiPriority w:val="99"/>
    <w:unhideWhenUsed/>
    <w:rsid w:val="00EA1ADD"/>
    <w:pPr>
      <w:spacing w:before="100" w:beforeAutospacing="1" w:after="100" w:afterAutospacing="1" w:line="240" w:lineRule="auto"/>
    </w:pPr>
    <w:rPr>
      <w:rFonts w:ascii="Times New Roman" w:hAnsi="Times New Roman" w:cs="Times New Roman"/>
      <w:sz w:val="24"/>
      <w:szCs w:val="24"/>
    </w:rPr>
  </w:style>
  <w:style w:type="paragraph" w:styleId="TOC5">
    <w:name w:val="toc 5"/>
    <w:basedOn w:val="Normal"/>
    <w:next w:val="Normal"/>
    <w:uiPriority w:val="39"/>
    <w:locked/>
    <w:rsid w:val="00DF7F2D"/>
    <w:pPr>
      <w:spacing w:after="0" w:line="240" w:lineRule="auto"/>
      <w:ind w:left="660"/>
    </w:pPr>
    <w:rPr>
      <w:rFonts w:asciiTheme="minorHAnsi" w:hAnsiTheme="minorHAnsi" w:cstheme="minorHAnsi"/>
      <w:sz w:val="20"/>
      <w:szCs w:val="20"/>
    </w:rPr>
  </w:style>
  <w:style w:type="character" w:customStyle="1" w:styleId="Heading5Char">
    <w:name w:val="Heading 5 Char"/>
    <w:basedOn w:val="DefaultParagraphFont"/>
    <w:link w:val="Heading50"/>
    <w:rsid w:val="00EA1ADD"/>
    <w:rPr>
      <w:rFonts w:ascii="Arial" w:eastAsia="Helvetica" w:hAnsi="Arial" w:cs="Arial"/>
      <w:b/>
      <w:iCs/>
      <w:color w:val="0A1F50" w:themeColor="text2"/>
      <w:sz w:val="22"/>
      <w:szCs w:val="22"/>
      <w:lang w:val="en-GB" w:eastAsia="en-GB"/>
    </w:rPr>
  </w:style>
  <w:style w:type="character" w:customStyle="1" w:styleId="Heading3Char">
    <w:name w:val="Heading 3 Char"/>
    <w:aliases w:val="Heading OPM 3 Char"/>
    <w:basedOn w:val="DefaultParagraphFont"/>
    <w:link w:val="Heading3"/>
    <w:rsid w:val="00EA1ADD"/>
    <w:rPr>
      <w:rFonts w:ascii="Arial" w:eastAsia="Helvetica" w:hAnsi="Arial" w:cs="Arial"/>
      <w:b/>
      <w:color w:val="0B1F51"/>
      <w:sz w:val="28"/>
      <w:szCs w:val="20"/>
      <w:lang w:val="en-GB" w:eastAsia="en-GB"/>
    </w:rPr>
  </w:style>
  <w:style w:type="character" w:customStyle="1" w:styleId="Heading1Char">
    <w:name w:val="Heading 1 Char"/>
    <w:basedOn w:val="DefaultParagraphFont"/>
    <w:link w:val="Heading1"/>
    <w:rsid w:val="00EA1ADD"/>
    <w:rPr>
      <w:rFonts w:ascii="Arial" w:eastAsia="Times New Roman" w:hAnsi="Arial" w:cs="Times New Roman"/>
      <w:b/>
      <w:bCs/>
      <w:color w:val="0B1F51"/>
      <w:sz w:val="40"/>
      <w:szCs w:val="20"/>
      <w:lang w:val="en-GB" w:eastAsia="en-GB"/>
    </w:rPr>
  </w:style>
  <w:style w:type="character" w:customStyle="1" w:styleId="Heading2Char">
    <w:name w:val="Heading 2 Char"/>
    <w:basedOn w:val="DefaultParagraphFont"/>
    <w:link w:val="Heading20"/>
    <w:rsid w:val="00EA1ADD"/>
    <w:rPr>
      <w:rFonts w:ascii="Arial" w:eastAsia="Times New Roman" w:hAnsi="Arial" w:cs="Times New Roman"/>
      <w:b/>
      <w:bCs/>
      <w:color w:val="0B1F51"/>
      <w:kern w:val="32"/>
      <w:sz w:val="28"/>
      <w:szCs w:val="28"/>
      <w:lang w:val="en-GB" w:eastAsia="en-GB"/>
    </w:rPr>
  </w:style>
  <w:style w:type="character" w:customStyle="1" w:styleId="Heading4Char">
    <w:name w:val="Heading 4 Char"/>
    <w:basedOn w:val="DefaultParagraphFont"/>
    <w:link w:val="Heading4"/>
    <w:rsid w:val="00EA1ADD"/>
    <w:rPr>
      <w:rFonts w:ascii="Arial" w:eastAsia="Helvetica" w:hAnsi="Arial" w:cs="Arial"/>
      <w:b/>
      <w:iCs/>
      <w:color w:val="0A1F50" w:themeColor="text2"/>
      <w:szCs w:val="22"/>
      <w:lang w:val="en-GB" w:eastAsia="en-GB"/>
    </w:rPr>
  </w:style>
  <w:style w:type="character" w:customStyle="1" w:styleId="Heading6Char">
    <w:name w:val="Heading 6 Char"/>
    <w:basedOn w:val="DefaultParagraphFont"/>
    <w:link w:val="Heading6"/>
    <w:rsid w:val="00EA1ADD"/>
    <w:rPr>
      <w:rFonts w:ascii="Arial" w:eastAsia="Helvetica" w:hAnsi="Arial" w:cs="Arial"/>
      <w:b/>
      <w:iCs/>
      <w:color w:val="0A1F50" w:themeColor="text2"/>
      <w:szCs w:val="22"/>
      <w:lang w:val="en-GB" w:eastAsia="en-GB"/>
    </w:rPr>
  </w:style>
  <w:style w:type="character" w:customStyle="1" w:styleId="Heading7Char">
    <w:name w:val="Heading 7 Char"/>
    <w:basedOn w:val="DefaultParagraphFont"/>
    <w:link w:val="Heading7"/>
    <w:rsid w:val="00EA1ADD"/>
    <w:rPr>
      <w:rFonts w:ascii="Arial" w:eastAsia="Helvetica" w:hAnsi="Arial" w:cs="Arial"/>
      <w:b/>
      <w:iCs/>
      <w:color w:val="0A1F50" w:themeColor="text2"/>
      <w:szCs w:val="22"/>
      <w:lang w:val="en-GB" w:eastAsia="en-GB"/>
    </w:rPr>
  </w:style>
  <w:style w:type="character" w:customStyle="1" w:styleId="Heading8Char">
    <w:name w:val="Heading 8 Char"/>
    <w:basedOn w:val="DefaultParagraphFont"/>
    <w:link w:val="Heading8"/>
    <w:rsid w:val="00EA1ADD"/>
    <w:rPr>
      <w:rFonts w:ascii="Arial" w:eastAsia="Helvetica" w:hAnsi="Arial" w:cs="Arial"/>
      <w:b/>
      <w:iCs/>
      <w:color w:val="0A1F50" w:themeColor="text2"/>
      <w:szCs w:val="22"/>
      <w:lang w:val="en-GB" w:eastAsia="en-GB"/>
    </w:rPr>
  </w:style>
  <w:style w:type="character" w:customStyle="1" w:styleId="Heading9Char">
    <w:name w:val="Heading 9 Char"/>
    <w:basedOn w:val="DefaultParagraphFont"/>
    <w:link w:val="Heading9"/>
    <w:rsid w:val="00EA1ADD"/>
    <w:rPr>
      <w:rFonts w:ascii="Arial" w:eastAsia="Helvetica" w:hAnsi="Arial" w:cs="Arial"/>
      <w:b/>
      <w:iCs/>
      <w:color w:val="0A1F50" w:themeColor="text2"/>
      <w:szCs w:val="22"/>
      <w:lang w:val="en-GB" w:eastAsia="en-GB"/>
    </w:rPr>
  </w:style>
  <w:style w:type="paragraph" w:styleId="TOC6">
    <w:name w:val="toc 6"/>
    <w:basedOn w:val="Normal"/>
    <w:next w:val="Normal"/>
    <w:uiPriority w:val="39"/>
    <w:locked/>
    <w:rsid w:val="00DF7F2D"/>
    <w:pPr>
      <w:spacing w:after="0" w:line="240" w:lineRule="auto"/>
      <w:ind w:left="880"/>
    </w:pPr>
    <w:rPr>
      <w:rFonts w:asciiTheme="minorHAnsi" w:hAnsiTheme="minorHAnsi" w:cstheme="minorHAnsi"/>
      <w:sz w:val="20"/>
      <w:szCs w:val="20"/>
    </w:rPr>
  </w:style>
  <w:style w:type="paragraph" w:customStyle="1" w:styleId="ListNumbered">
    <w:name w:val="List Numbered"/>
    <w:basedOn w:val="BodyText"/>
    <w:qFormat/>
    <w:rsid w:val="00EA1ADD"/>
    <w:pPr>
      <w:numPr>
        <w:numId w:val="1"/>
      </w:numPr>
      <w:spacing w:after="60"/>
      <w:ind w:left="357" w:hanging="357"/>
    </w:pPr>
  </w:style>
  <w:style w:type="paragraph" w:styleId="TOC7">
    <w:name w:val="toc 7"/>
    <w:basedOn w:val="Normal"/>
    <w:next w:val="Normal"/>
    <w:uiPriority w:val="39"/>
    <w:locked/>
    <w:rsid w:val="00DF7F2D"/>
    <w:pPr>
      <w:spacing w:after="0" w:line="240" w:lineRule="auto"/>
      <w:ind w:left="1100"/>
    </w:pPr>
    <w:rPr>
      <w:rFonts w:asciiTheme="minorHAnsi" w:hAnsiTheme="minorHAnsi" w:cstheme="minorHAnsi"/>
      <w:sz w:val="20"/>
      <w:szCs w:val="20"/>
    </w:rPr>
  </w:style>
  <w:style w:type="paragraph" w:styleId="TOC8">
    <w:name w:val="toc 8"/>
    <w:basedOn w:val="Normal"/>
    <w:next w:val="Normal"/>
    <w:uiPriority w:val="39"/>
    <w:locked/>
    <w:rsid w:val="00DF7F2D"/>
    <w:pPr>
      <w:spacing w:after="0" w:line="240" w:lineRule="auto"/>
      <w:ind w:left="1320"/>
    </w:pPr>
    <w:rPr>
      <w:rFonts w:asciiTheme="minorHAnsi" w:hAnsiTheme="minorHAnsi" w:cstheme="minorHAnsi"/>
      <w:sz w:val="20"/>
      <w:szCs w:val="20"/>
    </w:rPr>
  </w:style>
  <w:style w:type="paragraph" w:styleId="FootnoteText">
    <w:name w:val="footnote text"/>
    <w:basedOn w:val="Normal"/>
    <w:link w:val="FootnoteTextChar"/>
    <w:uiPriority w:val="99"/>
    <w:unhideWhenUsed/>
    <w:qFormat/>
    <w:rsid w:val="00EA1ADD"/>
    <w:pPr>
      <w:adjustRightInd w:val="0"/>
      <w:spacing w:after="0" w:line="240" w:lineRule="auto"/>
    </w:pPr>
    <w:rPr>
      <w:sz w:val="18"/>
      <w:szCs w:val="18"/>
    </w:rPr>
  </w:style>
  <w:style w:type="character" w:customStyle="1" w:styleId="FootnoteTextChar">
    <w:name w:val="Footnote Text Char"/>
    <w:basedOn w:val="DefaultParagraphFont"/>
    <w:link w:val="FootnoteText"/>
    <w:uiPriority w:val="99"/>
    <w:rsid w:val="00EA1ADD"/>
    <w:rPr>
      <w:rFonts w:ascii="Arial" w:hAnsi="Arial" w:cs="Arial"/>
      <w:sz w:val="18"/>
      <w:szCs w:val="18"/>
      <w:lang w:val="en-GB" w:eastAsia="en-GB"/>
    </w:rPr>
  </w:style>
  <w:style w:type="character" w:styleId="FootnoteReference">
    <w:name w:val="footnote reference"/>
    <w:basedOn w:val="DefaultParagraphFont"/>
    <w:uiPriority w:val="99"/>
    <w:unhideWhenUsed/>
    <w:qFormat/>
    <w:rsid w:val="00EA1ADD"/>
    <w:rPr>
      <w:vertAlign w:val="superscript"/>
    </w:rPr>
  </w:style>
  <w:style w:type="paragraph" w:customStyle="1" w:styleId="References">
    <w:name w:val="References"/>
    <w:basedOn w:val="BodyText"/>
    <w:qFormat/>
    <w:rsid w:val="00EA1ADD"/>
    <w:pPr>
      <w:adjustRightInd w:val="0"/>
      <w:ind w:left="340" w:hanging="340"/>
    </w:pPr>
    <w:rPr>
      <w:sz w:val="18"/>
      <w:szCs w:val="18"/>
    </w:rPr>
  </w:style>
  <w:style w:type="paragraph" w:customStyle="1" w:styleId="ListNumbered2">
    <w:name w:val="List Numbered 2"/>
    <w:basedOn w:val="ListNumbered"/>
    <w:rsid w:val="00EA1ADD"/>
    <w:pPr>
      <w:numPr>
        <w:numId w:val="6"/>
      </w:numPr>
      <w:ind w:left="717"/>
    </w:pPr>
  </w:style>
  <w:style w:type="table" w:styleId="TableGrid">
    <w:name w:val="Table Grid"/>
    <w:basedOn w:val="TableNormal"/>
    <w:uiPriority w:val="39"/>
    <w:rsid w:val="00EA1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s">
    <w:name w:val="Table notes"/>
    <w:basedOn w:val="Normal"/>
    <w:next w:val="BodyText"/>
    <w:rsid w:val="00EA1ADD"/>
    <w:pPr>
      <w:spacing w:before="120" w:after="240" w:line="240" w:lineRule="auto"/>
    </w:pPr>
    <w:rPr>
      <w:rFonts w:eastAsia="Times New Roman" w:cs="Times New Roman"/>
      <w:sz w:val="18"/>
      <w:szCs w:val="20"/>
      <w:lang w:eastAsia="en-US"/>
    </w:rPr>
  </w:style>
  <w:style w:type="table" w:customStyle="1" w:styleId="PlainTable11">
    <w:name w:val="Plain Table 11"/>
    <w:basedOn w:val="TableNormal"/>
    <w:uiPriority w:val="41"/>
    <w:rsid w:val="00000B1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BodyText"/>
    <w:next w:val="BodyText"/>
    <w:link w:val="CaptionChar"/>
    <w:unhideWhenUsed/>
    <w:qFormat/>
    <w:rsid w:val="00EA1ADD"/>
    <w:pPr>
      <w:keepNext/>
      <w:spacing w:after="120"/>
      <w:ind w:left="1134" w:hanging="1134"/>
      <w:outlineLvl w:val="2"/>
    </w:pPr>
    <w:rPr>
      <w:rFonts w:eastAsia="Times New Roman" w:cs="Times New Roman"/>
      <w:b/>
      <w:bCs/>
      <w:color w:val="0B1F51"/>
      <w:lang w:eastAsia="en-US"/>
    </w:rPr>
  </w:style>
  <w:style w:type="paragraph" w:styleId="TOC1">
    <w:name w:val="toc 1"/>
    <w:basedOn w:val="BodyText"/>
    <w:next w:val="BodyText"/>
    <w:uiPriority w:val="39"/>
    <w:unhideWhenUsed/>
    <w:qFormat/>
    <w:rsid w:val="00DF7F2D"/>
    <w:pPr>
      <w:spacing w:before="360" w:after="0" w:line="240" w:lineRule="auto"/>
      <w:jc w:val="left"/>
    </w:pPr>
    <w:rPr>
      <w:rFonts w:asciiTheme="majorHAnsi" w:hAnsiTheme="majorHAnsi" w:cstheme="majorHAnsi"/>
      <w:b/>
      <w:bCs/>
      <w:caps/>
      <w:sz w:val="20"/>
      <w:szCs w:val="24"/>
    </w:rPr>
  </w:style>
  <w:style w:type="paragraph" w:styleId="TOC2">
    <w:name w:val="toc 2"/>
    <w:basedOn w:val="BodyText"/>
    <w:next w:val="BodyText"/>
    <w:uiPriority w:val="39"/>
    <w:unhideWhenUsed/>
    <w:qFormat/>
    <w:rsid w:val="00DF7F2D"/>
    <w:pPr>
      <w:spacing w:before="240" w:after="0" w:line="240" w:lineRule="auto"/>
      <w:jc w:val="left"/>
    </w:pPr>
    <w:rPr>
      <w:rFonts w:asciiTheme="minorHAnsi" w:hAnsiTheme="minorHAnsi" w:cstheme="minorHAnsi"/>
      <w:b/>
      <w:bCs/>
      <w:sz w:val="20"/>
      <w:szCs w:val="20"/>
    </w:rPr>
  </w:style>
  <w:style w:type="paragraph" w:styleId="TOC3">
    <w:name w:val="toc 3"/>
    <w:basedOn w:val="BodyText"/>
    <w:next w:val="BodyText"/>
    <w:uiPriority w:val="39"/>
    <w:unhideWhenUsed/>
    <w:qFormat/>
    <w:rsid w:val="00DF7F2D"/>
    <w:pPr>
      <w:spacing w:after="0" w:line="240" w:lineRule="auto"/>
      <w:ind w:left="220"/>
      <w:jc w:val="left"/>
    </w:pPr>
    <w:rPr>
      <w:rFonts w:asciiTheme="minorHAnsi" w:hAnsiTheme="minorHAnsi" w:cstheme="minorHAnsi"/>
      <w:sz w:val="20"/>
      <w:szCs w:val="20"/>
    </w:rPr>
  </w:style>
  <w:style w:type="character" w:customStyle="1" w:styleId="HeaderChar">
    <w:name w:val="Header Char"/>
    <w:basedOn w:val="DefaultParagraphFont"/>
    <w:link w:val="Header"/>
    <w:uiPriority w:val="99"/>
    <w:rsid w:val="00EA1ADD"/>
    <w:rPr>
      <w:rFonts w:ascii="Arial" w:hAnsi="Arial" w:cs="Arial"/>
      <w:noProof/>
      <w:sz w:val="18"/>
      <w:szCs w:val="18"/>
      <w:lang w:val="en-GB" w:eastAsia="en-GB"/>
    </w:rPr>
  </w:style>
  <w:style w:type="paragraph" w:styleId="Footer">
    <w:name w:val="footer"/>
    <w:basedOn w:val="BodyText"/>
    <w:link w:val="FooterChar"/>
    <w:uiPriority w:val="99"/>
    <w:unhideWhenUsed/>
    <w:qFormat/>
    <w:rsid w:val="00EA1ADD"/>
    <w:rPr>
      <w:sz w:val="18"/>
      <w:szCs w:val="18"/>
    </w:rPr>
  </w:style>
  <w:style w:type="character" w:customStyle="1" w:styleId="FooterChar">
    <w:name w:val="Footer Char"/>
    <w:basedOn w:val="DefaultParagraphFont"/>
    <w:link w:val="Footer"/>
    <w:uiPriority w:val="99"/>
    <w:rsid w:val="00EA1ADD"/>
    <w:rPr>
      <w:rFonts w:ascii="Arial" w:hAnsi="Arial" w:cs="Arial"/>
      <w:sz w:val="18"/>
      <w:szCs w:val="18"/>
      <w:lang w:val="en-GB" w:eastAsia="en-GB"/>
    </w:rPr>
  </w:style>
  <w:style w:type="paragraph" w:customStyle="1" w:styleId="CoverSubhead">
    <w:name w:val="Cover Subhead"/>
    <w:basedOn w:val="Normal"/>
    <w:qFormat/>
    <w:rsid w:val="00EA1ADD"/>
    <w:pPr>
      <w:spacing w:after="0"/>
    </w:pPr>
    <w:rPr>
      <w:b/>
      <w:color w:val="0B1F51"/>
      <w:sz w:val="24"/>
      <w:szCs w:val="24"/>
    </w:rPr>
  </w:style>
  <w:style w:type="paragraph" w:styleId="Title">
    <w:name w:val="Title"/>
    <w:next w:val="BodyText"/>
    <w:link w:val="TitleChar"/>
    <w:uiPriority w:val="10"/>
    <w:qFormat/>
    <w:rsid w:val="00EA1ADD"/>
    <w:pPr>
      <w:spacing w:before="240" w:after="1134"/>
      <w:contextualSpacing/>
    </w:pPr>
    <w:rPr>
      <w:rFonts w:ascii="Arial" w:eastAsiaTheme="majorEastAsia" w:hAnsi="Arial" w:cs="Arial"/>
      <w:b/>
      <w:color w:val="0B1F51"/>
      <w:spacing w:val="-10"/>
      <w:kern w:val="28"/>
      <w:sz w:val="70"/>
      <w:szCs w:val="70"/>
      <w:lang w:val="en-GB" w:eastAsia="en-GB"/>
    </w:rPr>
  </w:style>
  <w:style w:type="character" w:customStyle="1" w:styleId="TitleChar">
    <w:name w:val="Title Char"/>
    <w:basedOn w:val="DefaultParagraphFont"/>
    <w:link w:val="Title"/>
    <w:uiPriority w:val="10"/>
    <w:rsid w:val="00EA1ADD"/>
    <w:rPr>
      <w:rFonts w:ascii="Arial" w:eastAsiaTheme="majorEastAsia" w:hAnsi="Arial" w:cs="Arial"/>
      <w:b/>
      <w:color w:val="0B1F51"/>
      <w:spacing w:val="-10"/>
      <w:kern w:val="28"/>
      <w:sz w:val="70"/>
      <w:szCs w:val="70"/>
      <w:lang w:val="en-GB" w:eastAsia="en-GB"/>
    </w:rPr>
  </w:style>
  <w:style w:type="table" w:customStyle="1" w:styleId="CoverTable">
    <w:name w:val="Cover Table"/>
    <w:basedOn w:val="TableNormal"/>
    <w:uiPriority w:val="99"/>
    <w:rsid w:val="00EA1ADD"/>
    <w:rPr>
      <w:rFonts w:ascii="Roboto" w:hAnsi="Roboto"/>
      <w:color w:val="FFFFFF" w:themeColor="background1"/>
    </w:rPr>
    <w:tblPr/>
    <w:tcPr>
      <w:tcMar>
        <w:left w:w="0" w:type="dxa"/>
        <w:right w:w="0" w:type="dxa"/>
      </w:tcMar>
    </w:tcPr>
  </w:style>
  <w:style w:type="paragraph" w:customStyle="1" w:styleId="Contacts">
    <w:name w:val="Contacts"/>
    <w:basedOn w:val="BodyText"/>
    <w:qFormat/>
    <w:rsid w:val="00EA1ADD"/>
    <w:pPr>
      <w:spacing w:after="0"/>
    </w:pPr>
    <w:rPr>
      <w:sz w:val="18"/>
      <w:szCs w:val="18"/>
    </w:rPr>
  </w:style>
  <w:style w:type="character" w:styleId="Hyperlink">
    <w:name w:val="Hyperlink"/>
    <w:basedOn w:val="DefaultParagraphFont"/>
    <w:uiPriority w:val="99"/>
    <w:unhideWhenUsed/>
    <w:rsid w:val="00EA1ADD"/>
    <w:rPr>
      <w:color w:val="45A7E1" w:themeColor="accent1"/>
      <w:u w:val="single"/>
    </w:rPr>
  </w:style>
  <w:style w:type="character" w:styleId="FollowedHyperlink">
    <w:name w:val="FollowedHyperlink"/>
    <w:basedOn w:val="DefaultParagraphFont"/>
    <w:uiPriority w:val="99"/>
    <w:semiHidden/>
    <w:unhideWhenUsed/>
    <w:rsid w:val="00EA1ADD"/>
    <w:rPr>
      <w:color w:val="45A7E1" w:themeColor="followedHyperlink"/>
      <w:u w:val="single"/>
    </w:rPr>
  </w:style>
  <w:style w:type="paragraph" w:styleId="TableofFigures">
    <w:name w:val="table of figures"/>
    <w:basedOn w:val="BodyText"/>
    <w:next w:val="Normal"/>
    <w:uiPriority w:val="99"/>
    <w:unhideWhenUsed/>
    <w:qFormat/>
    <w:rsid w:val="00EA1ADD"/>
    <w:pPr>
      <w:spacing w:after="120"/>
    </w:pPr>
  </w:style>
  <w:style w:type="paragraph" w:styleId="Subtitle">
    <w:name w:val="Subtitle"/>
    <w:basedOn w:val="Normal"/>
    <w:next w:val="Normal"/>
    <w:link w:val="SubtitleChar"/>
    <w:uiPriority w:val="11"/>
    <w:locked/>
    <w:rsid w:val="00EA1AD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EA1ADD"/>
    <w:rPr>
      <w:rFonts w:eastAsiaTheme="minorEastAsia"/>
      <w:color w:val="5A5A5A" w:themeColor="text1" w:themeTint="A5"/>
      <w:spacing w:val="15"/>
      <w:sz w:val="22"/>
      <w:szCs w:val="22"/>
      <w:lang w:val="en-GB" w:eastAsia="en-GB"/>
    </w:rPr>
  </w:style>
  <w:style w:type="character" w:styleId="SubtleEmphasis">
    <w:name w:val="Subtle Emphasis"/>
    <w:basedOn w:val="DefaultParagraphFont"/>
    <w:uiPriority w:val="19"/>
    <w:locked/>
    <w:rsid w:val="00EA1ADD"/>
    <w:rPr>
      <w:i/>
      <w:iCs/>
      <w:color w:val="404040" w:themeColor="text1" w:themeTint="BF"/>
    </w:rPr>
  </w:style>
  <w:style w:type="character" w:styleId="IntenseEmphasis">
    <w:name w:val="Intense Emphasis"/>
    <w:basedOn w:val="DefaultParagraphFont"/>
    <w:uiPriority w:val="21"/>
    <w:locked/>
    <w:rsid w:val="00EA1ADD"/>
    <w:rPr>
      <w:i/>
      <w:iCs/>
      <w:color w:val="45A7E1" w:themeColor="accent1"/>
    </w:rPr>
  </w:style>
  <w:style w:type="character" w:styleId="Strong">
    <w:name w:val="Strong"/>
    <w:basedOn w:val="DefaultParagraphFont"/>
    <w:uiPriority w:val="22"/>
    <w:locked/>
    <w:rsid w:val="00EA1ADD"/>
    <w:rPr>
      <w:b/>
      <w:bCs/>
    </w:rPr>
  </w:style>
  <w:style w:type="paragraph" w:styleId="Quote">
    <w:name w:val="Quote"/>
    <w:basedOn w:val="Normal"/>
    <w:next w:val="Normal"/>
    <w:link w:val="QuoteChar"/>
    <w:uiPriority w:val="29"/>
    <w:locked/>
    <w:rsid w:val="00EA1A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A1ADD"/>
    <w:rPr>
      <w:rFonts w:ascii="Arial" w:hAnsi="Arial" w:cs="Arial"/>
      <w:i/>
      <w:iCs/>
      <w:color w:val="404040" w:themeColor="text1" w:themeTint="BF"/>
      <w:sz w:val="22"/>
      <w:szCs w:val="22"/>
      <w:lang w:val="en-GB" w:eastAsia="en-GB"/>
    </w:rPr>
  </w:style>
  <w:style w:type="character" w:styleId="IntenseReference">
    <w:name w:val="Intense Reference"/>
    <w:basedOn w:val="DefaultParagraphFont"/>
    <w:uiPriority w:val="32"/>
    <w:locked/>
    <w:rsid w:val="00EA1ADD"/>
    <w:rPr>
      <w:b/>
      <w:bCs/>
      <w:smallCaps/>
      <w:color w:val="45A7E1" w:themeColor="accent1"/>
      <w:spacing w:val="5"/>
    </w:rPr>
  </w:style>
  <w:style w:type="character" w:styleId="SubtleReference">
    <w:name w:val="Subtle Reference"/>
    <w:basedOn w:val="DefaultParagraphFont"/>
    <w:uiPriority w:val="31"/>
    <w:locked/>
    <w:rsid w:val="00EA1ADD"/>
    <w:rPr>
      <w:smallCaps/>
      <w:color w:val="5A5A5A" w:themeColor="text1" w:themeTint="A5"/>
    </w:rPr>
  </w:style>
  <w:style w:type="paragraph" w:styleId="IntenseQuote">
    <w:name w:val="Intense Quote"/>
    <w:basedOn w:val="Normal"/>
    <w:next w:val="Normal"/>
    <w:link w:val="IntenseQuoteChar"/>
    <w:uiPriority w:val="30"/>
    <w:locked/>
    <w:rsid w:val="00EA1ADD"/>
    <w:pPr>
      <w:pBdr>
        <w:top w:val="single" w:sz="4" w:space="10" w:color="45A7E1" w:themeColor="accent1"/>
        <w:bottom w:val="single" w:sz="4" w:space="10" w:color="45A7E1" w:themeColor="accent1"/>
      </w:pBdr>
      <w:spacing w:before="360" w:after="360"/>
      <w:ind w:left="864" w:right="864"/>
      <w:jc w:val="center"/>
    </w:pPr>
    <w:rPr>
      <w:i/>
      <w:iCs/>
      <w:color w:val="45A7E1" w:themeColor="accent1"/>
    </w:rPr>
  </w:style>
  <w:style w:type="character" w:customStyle="1" w:styleId="IntenseQuoteChar">
    <w:name w:val="Intense Quote Char"/>
    <w:basedOn w:val="DefaultParagraphFont"/>
    <w:link w:val="IntenseQuote"/>
    <w:uiPriority w:val="30"/>
    <w:rsid w:val="00EA1ADD"/>
    <w:rPr>
      <w:rFonts w:ascii="Arial" w:hAnsi="Arial" w:cs="Arial"/>
      <w:i/>
      <w:iCs/>
      <w:color w:val="45A7E1" w:themeColor="accent1"/>
      <w:sz w:val="22"/>
      <w:szCs w:val="22"/>
      <w:lang w:val="en-GB" w:eastAsia="en-GB"/>
    </w:rPr>
  </w:style>
  <w:style w:type="paragraph" w:styleId="ListParagraph">
    <w:name w:val="List Paragraph"/>
    <w:aliases w:val="List Bullet Mary,List Paragraph (numbered (a)),List_Paragraph,Multilevel para_II,List Paragraph1,Medium Grid 1 - Accent 21,Paragraph,Annexlist,List of Table"/>
    <w:basedOn w:val="Normal"/>
    <w:link w:val="ListParagraphChar"/>
    <w:uiPriority w:val="34"/>
    <w:qFormat/>
    <w:rsid w:val="00EA1ADD"/>
    <w:pPr>
      <w:ind w:left="720"/>
      <w:contextualSpacing/>
    </w:pPr>
  </w:style>
  <w:style w:type="paragraph" w:styleId="TOCHeading">
    <w:name w:val="TOC Heading"/>
    <w:basedOn w:val="Heading1"/>
    <w:next w:val="Normal"/>
    <w:uiPriority w:val="39"/>
    <w:unhideWhenUsed/>
    <w:qFormat/>
    <w:rsid w:val="00EA1ADD"/>
    <w:pPr>
      <w:pBdr>
        <w:top w:val="none" w:sz="0" w:space="0" w:color="auto"/>
      </w:pBdr>
      <w:spacing w:before="240" w:after="0"/>
      <w:outlineLvl w:val="9"/>
    </w:pPr>
    <w:rPr>
      <w:rFonts w:asciiTheme="majorHAnsi" w:hAnsiTheme="majorHAnsi" w:cstheme="majorBidi"/>
      <w:b w:val="0"/>
      <w:color w:val="1E82BD" w:themeColor="accent1" w:themeShade="BF"/>
      <w:sz w:val="32"/>
      <w:szCs w:val="32"/>
    </w:rPr>
  </w:style>
  <w:style w:type="paragraph" w:styleId="BodyText">
    <w:name w:val="Body Text"/>
    <w:link w:val="BodyTextChar"/>
    <w:qFormat/>
    <w:rsid w:val="002E3BC6"/>
    <w:pPr>
      <w:spacing w:after="200" w:line="276" w:lineRule="auto"/>
      <w:jc w:val="both"/>
    </w:pPr>
    <w:rPr>
      <w:rFonts w:ascii="Arial" w:hAnsi="Arial" w:cs="Arial"/>
      <w:sz w:val="22"/>
      <w:szCs w:val="22"/>
      <w:lang w:val="en-GB" w:eastAsia="en-GB"/>
    </w:rPr>
  </w:style>
  <w:style w:type="character" w:customStyle="1" w:styleId="BodyTextChar">
    <w:name w:val="Body Text Char"/>
    <w:basedOn w:val="DefaultParagraphFont"/>
    <w:link w:val="BodyText"/>
    <w:rsid w:val="002E3BC6"/>
    <w:rPr>
      <w:rFonts w:ascii="Arial" w:hAnsi="Arial" w:cs="Arial"/>
      <w:sz w:val="22"/>
      <w:szCs w:val="22"/>
      <w:lang w:val="en-GB" w:eastAsia="en-GB"/>
    </w:rPr>
  </w:style>
  <w:style w:type="paragraph" w:customStyle="1" w:styleId="Annextitle">
    <w:name w:val="Annex title"/>
    <w:basedOn w:val="Normal"/>
    <w:next w:val="Normal"/>
    <w:rsid w:val="00EA1ADD"/>
    <w:pPr>
      <w:keepNext/>
      <w:pageBreakBefore/>
      <w:numPr>
        <w:numId w:val="2"/>
      </w:numPr>
      <w:pBdr>
        <w:top w:val="single" w:sz="48" w:space="1" w:color="45A7E1" w:themeColor="accent1"/>
      </w:pBdr>
      <w:tabs>
        <w:tab w:val="clear" w:pos="360"/>
      </w:tabs>
      <w:spacing w:after="400" w:line="240" w:lineRule="auto"/>
      <w:ind w:left="2126" w:hanging="2126"/>
      <w:outlineLvl w:val="7"/>
    </w:pPr>
    <w:rPr>
      <w:rFonts w:eastAsia="Times New Roman" w:cs="Times New Roman"/>
      <w:b/>
      <w:color w:val="0B1F51"/>
      <w:kern w:val="32"/>
      <w:sz w:val="46"/>
      <w:szCs w:val="46"/>
      <w:lang w:eastAsia="en-US"/>
    </w:rPr>
  </w:style>
  <w:style w:type="paragraph" w:customStyle="1" w:styleId="Annexheading1">
    <w:name w:val="Annex heading 1"/>
    <w:basedOn w:val="Normal"/>
    <w:next w:val="BodyText"/>
    <w:rsid w:val="00EA1ADD"/>
    <w:pPr>
      <w:keepNext/>
      <w:numPr>
        <w:ilvl w:val="1"/>
        <w:numId w:val="2"/>
      </w:numPr>
      <w:spacing w:before="240" w:after="240" w:line="240" w:lineRule="auto"/>
      <w:outlineLvl w:val="1"/>
    </w:pPr>
    <w:rPr>
      <w:rFonts w:eastAsia="Times New Roman" w:cs="Times New Roman"/>
      <w:b/>
      <w:color w:val="0B1F51"/>
      <w:sz w:val="28"/>
      <w:szCs w:val="20"/>
      <w:lang w:eastAsia="en-US"/>
    </w:rPr>
  </w:style>
  <w:style w:type="paragraph" w:customStyle="1" w:styleId="Annexheading2">
    <w:name w:val="Annex heading 2"/>
    <w:basedOn w:val="Normal"/>
    <w:next w:val="BodyText"/>
    <w:rsid w:val="00EA1ADD"/>
    <w:pPr>
      <w:keepNext/>
      <w:numPr>
        <w:ilvl w:val="2"/>
        <w:numId w:val="2"/>
      </w:numPr>
      <w:spacing w:before="160" w:after="240" w:line="240" w:lineRule="auto"/>
      <w:ind w:left="720"/>
      <w:outlineLvl w:val="2"/>
    </w:pPr>
    <w:rPr>
      <w:rFonts w:eastAsia="Times New Roman" w:cs="Times New Roman"/>
      <w:b/>
      <w:color w:val="0B1F51"/>
      <w:kern w:val="32"/>
      <w:sz w:val="24"/>
      <w:szCs w:val="20"/>
      <w:lang w:eastAsia="en-US"/>
    </w:rPr>
  </w:style>
  <w:style w:type="paragraph" w:customStyle="1" w:styleId="Annexheading3">
    <w:name w:val="Annex heading 3"/>
    <w:basedOn w:val="Normal"/>
    <w:next w:val="BodyText"/>
    <w:rsid w:val="00EA1ADD"/>
    <w:pPr>
      <w:keepNext/>
      <w:numPr>
        <w:ilvl w:val="3"/>
        <w:numId w:val="2"/>
      </w:numPr>
      <w:tabs>
        <w:tab w:val="clear" w:pos="1440"/>
      </w:tabs>
      <w:spacing w:after="240" w:line="240" w:lineRule="auto"/>
      <w:ind w:left="993" w:hanging="993"/>
      <w:outlineLvl w:val="3"/>
    </w:pPr>
    <w:rPr>
      <w:rFonts w:eastAsia="Times New Roman" w:cs="Times New Roman"/>
      <w:b/>
      <w:color w:val="0B1F51"/>
      <w:szCs w:val="20"/>
      <w:lang w:eastAsia="en-US"/>
    </w:rPr>
  </w:style>
  <w:style w:type="paragraph" w:customStyle="1" w:styleId="Abbreviation">
    <w:name w:val="Abbreviation"/>
    <w:basedOn w:val="Normal"/>
    <w:rsid w:val="00EA1ADD"/>
    <w:pPr>
      <w:tabs>
        <w:tab w:val="left" w:pos="1701"/>
      </w:tabs>
      <w:spacing w:after="240" w:line="240" w:lineRule="auto"/>
      <w:ind w:left="1701" w:hanging="1701"/>
    </w:pPr>
    <w:rPr>
      <w:rFonts w:eastAsia="Times New Roman" w:cs="Times New Roman"/>
      <w:szCs w:val="20"/>
      <w:lang w:eastAsia="en-US"/>
    </w:rPr>
  </w:style>
  <w:style w:type="paragraph" w:customStyle="1" w:styleId="Projecttitle">
    <w:name w:val="Project title"/>
    <w:basedOn w:val="Normal"/>
    <w:next w:val="Normal"/>
    <w:qFormat/>
    <w:rsid w:val="00EA1ADD"/>
    <w:pPr>
      <w:spacing w:before="4000" w:after="0"/>
    </w:pPr>
    <w:rPr>
      <w:rFonts w:ascii="Georgia" w:eastAsia="Times New Roman" w:hAnsi="Georgia" w:cs="Times New Roman"/>
      <w:b/>
      <w:color w:val="002147"/>
      <w:kern w:val="28"/>
      <w:sz w:val="48"/>
      <w:szCs w:val="20"/>
      <w:lang w:eastAsia="en-US"/>
    </w:rPr>
  </w:style>
  <w:style w:type="paragraph" w:customStyle="1" w:styleId="ToCTitle">
    <w:name w:val="ToC Title"/>
    <w:basedOn w:val="Heading1"/>
    <w:rsid w:val="00EA1ADD"/>
    <w:pPr>
      <w:numPr>
        <w:numId w:val="0"/>
      </w:numPr>
      <w:spacing w:after="480"/>
    </w:pPr>
    <w:rPr>
      <w:bCs w:val="0"/>
      <w:sz w:val="32"/>
    </w:rPr>
  </w:style>
  <w:style w:type="paragraph" w:customStyle="1" w:styleId="Heading2NONUM">
    <w:name w:val="Heading 2 NO NUM"/>
    <w:basedOn w:val="Heading20"/>
    <w:next w:val="Normal"/>
    <w:qFormat/>
    <w:rsid w:val="00EA1ADD"/>
    <w:pPr>
      <w:numPr>
        <w:ilvl w:val="0"/>
        <w:numId w:val="0"/>
      </w:numPr>
    </w:pPr>
    <w:rPr>
      <w:lang w:eastAsia="en-US"/>
    </w:rPr>
  </w:style>
  <w:style w:type="paragraph" w:customStyle="1" w:styleId="Heading3NONUM">
    <w:name w:val="Heading 3 NO NUM"/>
    <w:basedOn w:val="Heading3"/>
    <w:next w:val="Normal"/>
    <w:qFormat/>
    <w:rsid w:val="00EA1ADD"/>
    <w:pPr>
      <w:numPr>
        <w:ilvl w:val="0"/>
        <w:numId w:val="0"/>
      </w:numPr>
    </w:pPr>
    <w:rPr>
      <w:rFonts w:eastAsia="Times New Roman" w:cs="Times New Roman"/>
      <w:kern w:val="32"/>
      <w:szCs w:val="24"/>
      <w:lang w:eastAsia="en-US"/>
    </w:rPr>
  </w:style>
  <w:style w:type="numbering" w:customStyle="1" w:styleId="ListBullets">
    <w:name w:val="ListBullets"/>
    <w:uiPriority w:val="99"/>
    <w:rsid w:val="00EA1ADD"/>
    <w:pPr>
      <w:numPr>
        <w:numId w:val="3"/>
      </w:numPr>
    </w:pPr>
  </w:style>
  <w:style w:type="paragraph" w:styleId="ListBullet">
    <w:name w:val="List Bullet"/>
    <w:basedOn w:val="Normal"/>
    <w:qFormat/>
    <w:rsid w:val="00420EDC"/>
    <w:pPr>
      <w:numPr>
        <w:numId w:val="3"/>
      </w:numPr>
      <w:spacing w:after="60" w:line="276" w:lineRule="auto"/>
    </w:pPr>
    <w:rPr>
      <w:rFonts w:eastAsia="Times New Roman" w:cs="Times New Roman"/>
      <w:szCs w:val="20"/>
      <w:lang w:eastAsia="en-US"/>
    </w:rPr>
  </w:style>
  <w:style w:type="paragraph" w:styleId="ListBullet2">
    <w:name w:val="List Bullet 2"/>
    <w:basedOn w:val="Normal"/>
    <w:qFormat/>
    <w:rsid w:val="00EA1ADD"/>
    <w:pPr>
      <w:numPr>
        <w:ilvl w:val="1"/>
        <w:numId w:val="3"/>
      </w:numPr>
      <w:spacing w:after="60" w:line="276" w:lineRule="atLeast"/>
    </w:pPr>
    <w:rPr>
      <w:rFonts w:eastAsia="Times New Roman" w:cs="Times New Roman"/>
      <w:szCs w:val="20"/>
      <w:lang w:eastAsia="en-US"/>
    </w:rPr>
  </w:style>
  <w:style w:type="paragraph" w:styleId="ListBullet3">
    <w:name w:val="List Bullet 3"/>
    <w:basedOn w:val="Normal"/>
    <w:qFormat/>
    <w:rsid w:val="00EA1ADD"/>
    <w:pPr>
      <w:numPr>
        <w:ilvl w:val="2"/>
        <w:numId w:val="3"/>
      </w:numPr>
      <w:spacing w:after="60" w:line="276" w:lineRule="atLeast"/>
    </w:pPr>
  </w:style>
  <w:style w:type="paragraph" w:styleId="ListBullet4">
    <w:name w:val="List Bullet 4"/>
    <w:basedOn w:val="Normal"/>
    <w:qFormat/>
    <w:rsid w:val="00EA1ADD"/>
    <w:pPr>
      <w:numPr>
        <w:ilvl w:val="3"/>
        <w:numId w:val="3"/>
      </w:numPr>
      <w:spacing w:after="60" w:line="276" w:lineRule="atLeast"/>
    </w:pPr>
  </w:style>
  <w:style w:type="paragraph" w:styleId="ListBullet5">
    <w:name w:val="List Bullet 5"/>
    <w:basedOn w:val="Normal"/>
    <w:qFormat/>
    <w:rsid w:val="00EA1ADD"/>
    <w:pPr>
      <w:numPr>
        <w:ilvl w:val="4"/>
        <w:numId w:val="3"/>
      </w:numPr>
      <w:spacing w:after="60" w:line="276" w:lineRule="atLeast"/>
    </w:pPr>
    <w:rPr>
      <w:rFonts w:eastAsia="Times New Roman" w:cs="Times New Roman"/>
      <w:szCs w:val="20"/>
      <w:lang w:eastAsia="en-US"/>
    </w:rPr>
  </w:style>
  <w:style w:type="paragraph" w:customStyle="1" w:styleId="Reference">
    <w:name w:val="Reference"/>
    <w:basedOn w:val="Normal"/>
    <w:rsid w:val="00EA1ADD"/>
    <w:pPr>
      <w:tabs>
        <w:tab w:val="left" w:pos="357"/>
      </w:tabs>
      <w:spacing w:after="120" w:line="240" w:lineRule="auto"/>
      <w:ind w:left="357" w:hanging="357"/>
    </w:pPr>
    <w:rPr>
      <w:rFonts w:eastAsia="Times New Roman" w:cs="Times New Roman"/>
      <w:szCs w:val="20"/>
      <w:lang w:eastAsia="en-US"/>
    </w:rPr>
  </w:style>
  <w:style w:type="paragraph" w:customStyle="1" w:styleId="Boxtext">
    <w:name w:val="Box text"/>
    <w:basedOn w:val="Normal"/>
    <w:rsid w:val="00EA1ADD"/>
    <w:pPr>
      <w:keepNext/>
      <w:spacing w:before="120" w:after="120" w:line="240" w:lineRule="auto"/>
    </w:pPr>
    <w:rPr>
      <w:rFonts w:eastAsia="Times New Roman" w:cs="Times New Roman"/>
      <w:sz w:val="20"/>
      <w:szCs w:val="20"/>
      <w:lang w:eastAsia="en-US"/>
    </w:rPr>
  </w:style>
  <w:style w:type="paragraph" w:customStyle="1" w:styleId="Heading1NONUM">
    <w:name w:val="Heading 1 NO NUM"/>
    <w:basedOn w:val="Heading1"/>
    <w:qFormat/>
    <w:rsid w:val="00EA1ADD"/>
    <w:pPr>
      <w:numPr>
        <w:numId w:val="0"/>
      </w:numPr>
    </w:pPr>
    <w:rPr>
      <w:bCs w:val="0"/>
    </w:rPr>
  </w:style>
  <w:style w:type="paragraph" w:customStyle="1" w:styleId="Boxcaption">
    <w:name w:val="Box caption"/>
    <w:basedOn w:val="Caption"/>
    <w:next w:val="Boxtext"/>
    <w:rsid w:val="00EA1ADD"/>
    <w:pPr>
      <w:spacing w:before="120"/>
    </w:pPr>
    <w:rPr>
      <w:color w:val="FFFFFF" w:themeColor="background1"/>
    </w:rPr>
  </w:style>
  <w:style w:type="paragraph" w:customStyle="1" w:styleId="ListLetter">
    <w:name w:val="List Letter"/>
    <w:basedOn w:val="Normal"/>
    <w:rsid w:val="00EA1ADD"/>
    <w:pPr>
      <w:numPr>
        <w:numId w:val="5"/>
      </w:numPr>
      <w:spacing w:after="60" w:line="240" w:lineRule="auto"/>
      <w:ind w:left="360"/>
    </w:pPr>
    <w:rPr>
      <w:rFonts w:eastAsia="Times New Roman" w:cs="Times New Roman"/>
      <w:szCs w:val="20"/>
      <w:lang w:eastAsia="en-US"/>
    </w:rPr>
  </w:style>
  <w:style w:type="character" w:customStyle="1" w:styleId="Hashtag1">
    <w:name w:val="Hashtag1"/>
    <w:basedOn w:val="DefaultParagraphFont"/>
    <w:uiPriority w:val="99"/>
    <w:rsid w:val="00EA1ADD"/>
    <w:rPr>
      <w:color w:val="2B579A"/>
      <w:shd w:val="clear" w:color="auto" w:fill="E6E6E6"/>
    </w:rPr>
  </w:style>
  <w:style w:type="paragraph" w:customStyle="1" w:styleId="Secondarytitle">
    <w:name w:val="Secondary title"/>
    <w:basedOn w:val="Normal"/>
    <w:rsid w:val="00EA1ADD"/>
    <w:pPr>
      <w:spacing w:after="0"/>
    </w:pPr>
    <w:rPr>
      <w:rFonts w:asciiTheme="majorHAnsi" w:eastAsia="Times New Roman" w:hAnsiTheme="majorHAnsi" w:cstheme="majorHAnsi"/>
      <w:sz w:val="40"/>
      <w:szCs w:val="40"/>
      <w:lang w:eastAsia="en-US"/>
    </w:rPr>
  </w:style>
  <w:style w:type="paragraph" w:customStyle="1" w:styleId="Author">
    <w:name w:val="Author"/>
    <w:basedOn w:val="Normal"/>
    <w:qFormat/>
    <w:rsid w:val="00EA1ADD"/>
    <w:pPr>
      <w:spacing w:before="1440" w:after="0"/>
    </w:pPr>
    <w:rPr>
      <w:rFonts w:eastAsia="Times New Roman" w:cs="Times New Roman"/>
      <w:sz w:val="28"/>
      <w:szCs w:val="20"/>
      <w:lang w:eastAsia="en-US"/>
    </w:rPr>
  </w:style>
  <w:style w:type="paragraph" w:customStyle="1" w:styleId="ListNumberedFinal">
    <w:name w:val="List Numbered Final"/>
    <w:basedOn w:val="ListNumbered"/>
    <w:next w:val="BodyText"/>
    <w:rsid w:val="00EA1ADD"/>
    <w:pPr>
      <w:spacing w:after="240"/>
    </w:pPr>
    <w:rPr>
      <w:rFonts w:eastAsia="Times New Roman" w:cs="Times New Roman"/>
      <w:szCs w:val="20"/>
    </w:rPr>
  </w:style>
  <w:style w:type="paragraph" w:customStyle="1" w:styleId="ListLetterFinal">
    <w:name w:val="List Letter Final"/>
    <w:basedOn w:val="ListLetter"/>
    <w:next w:val="BodyText"/>
    <w:rsid w:val="00EA1ADD"/>
    <w:pPr>
      <w:spacing w:after="240"/>
    </w:pPr>
  </w:style>
  <w:style w:type="paragraph" w:customStyle="1" w:styleId="ListNumbered3">
    <w:name w:val="List Numbered 3"/>
    <w:basedOn w:val="ListNumbered"/>
    <w:rsid w:val="00EA1ADD"/>
    <w:pPr>
      <w:numPr>
        <w:numId w:val="7"/>
      </w:numPr>
      <w:ind w:left="1074"/>
    </w:pPr>
  </w:style>
  <w:style w:type="table" w:customStyle="1" w:styleId="OPMBoxstyle">
    <w:name w:val="OPM Box style"/>
    <w:basedOn w:val="TableNormal"/>
    <w:uiPriority w:val="99"/>
    <w:rsid w:val="00EA1ADD"/>
    <w:rPr>
      <w:sz w:val="20"/>
    </w:rPr>
    <w:tblPr>
      <w:tblBorders>
        <w:top w:val="single" w:sz="4" w:space="0" w:color="45A7E1" w:themeColor="accent1"/>
        <w:left w:val="single" w:sz="4" w:space="0" w:color="45A7E1" w:themeColor="accent1"/>
        <w:bottom w:val="single" w:sz="4" w:space="0" w:color="45A7E1" w:themeColor="accent1"/>
        <w:right w:val="single" w:sz="4" w:space="0" w:color="45A7E1" w:themeColor="accent1"/>
      </w:tblBorders>
      <w:tblCellMar>
        <w:left w:w="85" w:type="dxa"/>
        <w:right w:w="85" w:type="dxa"/>
      </w:tblCellMar>
    </w:tblPr>
    <w:tcPr>
      <w:shd w:val="clear" w:color="auto" w:fill="DAE4EC" w:themeFill="background2"/>
    </w:tcPr>
    <w:tblStylePr w:type="firstRow">
      <w:rPr>
        <w:b w:val="0"/>
        <w:color w:val="000000" w:themeColor="text1"/>
      </w:rPr>
      <w:tblPr/>
      <w:tcPr>
        <w:shd w:val="clear" w:color="auto" w:fill="DAE4EC" w:themeFill="background2"/>
      </w:tcPr>
    </w:tblStylePr>
  </w:style>
  <w:style w:type="paragraph" w:customStyle="1" w:styleId="Tabletext">
    <w:name w:val="Table text"/>
    <w:basedOn w:val="BodyText"/>
    <w:rsid w:val="00EA1ADD"/>
    <w:pPr>
      <w:spacing w:before="40" w:after="40"/>
    </w:pPr>
    <w:rPr>
      <w:sz w:val="20"/>
      <w:lang w:eastAsia="en-US"/>
    </w:rPr>
  </w:style>
  <w:style w:type="paragraph" w:customStyle="1" w:styleId="DateCover">
    <w:name w:val="Date (Cover)"/>
    <w:basedOn w:val="Author"/>
    <w:rsid w:val="00EA1ADD"/>
    <w:rPr>
      <w:sz w:val="22"/>
    </w:rPr>
  </w:style>
  <w:style w:type="paragraph" w:styleId="BalloonText">
    <w:name w:val="Balloon Text"/>
    <w:basedOn w:val="Normal"/>
    <w:link w:val="BalloonTextChar"/>
    <w:uiPriority w:val="99"/>
    <w:semiHidden/>
    <w:unhideWhenUsed/>
    <w:rsid w:val="00EA1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ADD"/>
    <w:rPr>
      <w:rFonts w:ascii="Segoe UI" w:hAnsi="Segoe UI" w:cs="Segoe UI"/>
      <w:sz w:val="18"/>
      <w:szCs w:val="18"/>
      <w:lang w:val="en-GB" w:eastAsia="en-GB"/>
    </w:rPr>
  </w:style>
  <w:style w:type="character" w:customStyle="1" w:styleId="ListParagraphChar">
    <w:name w:val="List Paragraph Char"/>
    <w:aliases w:val="List Bullet Mary Char,List Paragraph (numbered (a)) Char,List_Paragraph Char,Multilevel para_II Char,List Paragraph1 Char,Medium Grid 1 - Accent 21 Char,Paragraph Char,Annexlist Char,List of Table Char"/>
    <w:basedOn w:val="DefaultParagraphFont"/>
    <w:link w:val="ListParagraph"/>
    <w:uiPriority w:val="34"/>
    <w:locked/>
    <w:rsid w:val="00D61E15"/>
    <w:rPr>
      <w:rFonts w:ascii="Arial" w:hAnsi="Arial" w:cs="Arial"/>
      <w:sz w:val="22"/>
      <w:szCs w:val="22"/>
      <w:lang w:val="en-GB" w:eastAsia="en-GB"/>
    </w:rPr>
  </w:style>
  <w:style w:type="paragraph" w:styleId="NoSpacing">
    <w:name w:val="No Spacing"/>
    <w:link w:val="NoSpacingChar"/>
    <w:uiPriority w:val="1"/>
    <w:qFormat/>
    <w:rsid w:val="00D61E15"/>
    <w:rPr>
      <w:rFonts w:ascii="Arial" w:eastAsia="Times New Roman" w:hAnsi="Arial" w:cs="Times New Roman"/>
      <w:sz w:val="22"/>
      <w:szCs w:val="20"/>
      <w:lang w:val="en-GB"/>
    </w:rPr>
  </w:style>
  <w:style w:type="table" w:customStyle="1" w:styleId="LightShading1">
    <w:name w:val="Light Shading1"/>
    <w:basedOn w:val="TableNormal"/>
    <w:uiPriority w:val="60"/>
    <w:rsid w:val="00D61E15"/>
    <w:rPr>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ulletsSublist">
    <w:name w:val="Bullets Sublist"/>
    <w:basedOn w:val="ListParagraph"/>
    <w:link w:val="BulletsSublistChar"/>
    <w:qFormat/>
    <w:rsid w:val="00D61E15"/>
    <w:pPr>
      <w:numPr>
        <w:numId w:val="8"/>
      </w:numPr>
      <w:spacing w:after="240" w:line="300" w:lineRule="exact"/>
      <w:contextualSpacing w:val="0"/>
    </w:pPr>
    <w:rPr>
      <w:rFonts w:ascii="Times New Roman" w:eastAsiaTheme="minorEastAsia" w:hAnsi="Times New Roman" w:cstheme="minorHAnsi"/>
      <w:szCs w:val="20"/>
    </w:rPr>
  </w:style>
  <w:style w:type="paragraph" w:customStyle="1" w:styleId="TableRow">
    <w:name w:val="TableRow"/>
    <w:basedOn w:val="Normal"/>
    <w:qFormat/>
    <w:rsid w:val="00D61E15"/>
    <w:pPr>
      <w:spacing w:before="60" w:after="60" w:line="300" w:lineRule="exact"/>
      <w:jc w:val="right"/>
    </w:pPr>
    <w:rPr>
      <w:rFonts w:ascii="Times New Roman" w:eastAsia="Times New Roman" w:hAnsi="Times New Roman" w:cs="Times New Roman"/>
      <w:szCs w:val="20"/>
      <w:lang w:val="en-US" w:eastAsia="en-US"/>
    </w:rPr>
  </w:style>
  <w:style w:type="paragraph" w:customStyle="1" w:styleId="Heading5">
    <w:name w:val="Heading5"/>
    <w:basedOn w:val="BulletsSublist"/>
    <w:link w:val="Heading5Char0"/>
    <w:qFormat/>
    <w:rsid w:val="00D61E15"/>
    <w:pPr>
      <w:numPr>
        <w:numId w:val="9"/>
      </w:numPr>
      <w:ind w:left="2700"/>
    </w:pPr>
  </w:style>
  <w:style w:type="character" w:customStyle="1" w:styleId="BulletsSublistChar">
    <w:name w:val="Bullets Sublist Char"/>
    <w:basedOn w:val="ListParagraphChar"/>
    <w:link w:val="BulletsSublist"/>
    <w:rsid w:val="00D61E15"/>
    <w:rPr>
      <w:rFonts w:ascii="Times New Roman" w:eastAsiaTheme="minorEastAsia" w:hAnsi="Times New Roman" w:cstheme="minorHAnsi"/>
      <w:sz w:val="22"/>
      <w:szCs w:val="20"/>
      <w:lang w:val="en-GB" w:eastAsia="en-GB"/>
    </w:rPr>
  </w:style>
  <w:style w:type="paragraph" w:customStyle="1" w:styleId="OPMHeading3">
    <w:name w:val="OPM Heading3"/>
    <w:basedOn w:val="Heading3"/>
    <w:link w:val="OPMHeading3Char"/>
    <w:qFormat/>
    <w:rsid w:val="00D61E15"/>
    <w:pPr>
      <w:numPr>
        <w:ilvl w:val="0"/>
        <w:numId w:val="0"/>
      </w:numPr>
      <w:tabs>
        <w:tab w:val="num" w:pos="3272"/>
      </w:tabs>
      <w:ind w:left="3272" w:hanging="720"/>
    </w:pPr>
    <w:rPr>
      <w:rFonts w:eastAsia="Times New Roman" w:cs="Times New Roman"/>
      <w:noProof/>
      <w:color w:val="002147"/>
      <w:kern w:val="32"/>
      <w:sz w:val="26"/>
      <w:szCs w:val="26"/>
    </w:rPr>
  </w:style>
  <w:style w:type="character" w:customStyle="1" w:styleId="Heading5Char0">
    <w:name w:val="Heading5 Char"/>
    <w:basedOn w:val="BulletsSublistChar"/>
    <w:link w:val="Heading5"/>
    <w:rsid w:val="00D61E15"/>
    <w:rPr>
      <w:rFonts w:ascii="Times New Roman" w:eastAsiaTheme="minorEastAsia" w:hAnsi="Times New Roman" w:cstheme="minorHAnsi"/>
      <w:sz w:val="22"/>
      <w:szCs w:val="20"/>
      <w:lang w:val="en-GB" w:eastAsia="en-GB"/>
    </w:rPr>
  </w:style>
  <w:style w:type="character" w:customStyle="1" w:styleId="OPMHeading3Char">
    <w:name w:val="OPM Heading3 Char"/>
    <w:basedOn w:val="Heading3Char"/>
    <w:link w:val="OPMHeading3"/>
    <w:rsid w:val="00D61E15"/>
    <w:rPr>
      <w:rFonts w:ascii="Arial" w:eastAsia="Times New Roman" w:hAnsi="Arial" w:cs="Times New Roman"/>
      <w:b/>
      <w:noProof/>
      <w:color w:val="002147"/>
      <w:kern w:val="32"/>
      <w:sz w:val="26"/>
      <w:szCs w:val="26"/>
      <w:lang w:val="en-GB" w:eastAsia="en-GB"/>
    </w:rPr>
  </w:style>
  <w:style w:type="paragraph" w:customStyle="1" w:styleId="Heading2">
    <w:name w:val="Heading2"/>
    <w:basedOn w:val="Heading20"/>
    <w:link w:val="Heading2Char0"/>
    <w:qFormat/>
    <w:rsid w:val="00D61E15"/>
    <w:pPr>
      <w:numPr>
        <w:numId w:val="10"/>
      </w:numPr>
      <w:jc w:val="center"/>
    </w:pPr>
    <w:rPr>
      <w:bCs w:val="0"/>
      <w:color w:val="002147"/>
    </w:rPr>
  </w:style>
  <w:style w:type="character" w:customStyle="1" w:styleId="Heading2Char0">
    <w:name w:val="Heading2 Char"/>
    <w:basedOn w:val="Heading2Char"/>
    <w:link w:val="Heading2"/>
    <w:rsid w:val="00D61E15"/>
    <w:rPr>
      <w:rFonts w:ascii="Arial" w:eastAsia="Times New Roman" w:hAnsi="Arial" w:cs="Times New Roman"/>
      <w:b/>
      <w:bCs w:val="0"/>
      <w:color w:val="002147"/>
      <w:kern w:val="32"/>
      <w:sz w:val="28"/>
      <w:szCs w:val="28"/>
      <w:lang w:val="en-GB" w:eastAsia="en-GB"/>
    </w:rPr>
  </w:style>
  <w:style w:type="table" w:customStyle="1" w:styleId="LightShading2">
    <w:name w:val="Light Shading2"/>
    <w:basedOn w:val="TableNormal"/>
    <w:uiPriority w:val="60"/>
    <w:rsid w:val="00D61E15"/>
    <w:rPr>
      <w:color w:val="000000" w:themeColor="text1" w:themeShade="BF"/>
      <w:sz w:val="22"/>
      <w:szCs w:val="22"/>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OPMBodytext">
    <w:name w:val="OPM Body text"/>
    <w:basedOn w:val="Normal"/>
    <w:link w:val="OPMBodytextChar"/>
    <w:qFormat/>
    <w:rsid w:val="00D61E15"/>
    <w:pPr>
      <w:spacing w:after="240" w:line="276" w:lineRule="atLeast"/>
    </w:pPr>
    <w:rPr>
      <w:rFonts w:eastAsia="Times New Roman" w:cs="Times New Roman"/>
      <w:szCs w:val="20"/>
      <w:lang w:eastAsia="en-US"/>
    </w:rPr>
  </w:style>
  <w:style w:type="character" w:customStyle="1" w:styleId="OPMBodytextChar">
    <w:name w:val="OPM Body text Char"/>
    <w:basedOn w:val="DefaultParagraphFont"/>
    <w:link w:val="OPMBodytext"/>
    <w:rsid w:val="00D61E15"/>
    <w:rPr>
      <w:rFonts w:ascii="Arial" w:eastAsia="Times New Roman" w:hAnsi="Arial" w:cs="Times New Roman"/>
      <w:sz w:val="22"/>
      <w:szCs w:val="20"/>
      <w:lang w:val="en-GB"/>
    </w:rPr>
  </w:style>
  <w:style w:type="paragraph" w:customStyle="1" w:styleId="BodyText1">
    <w:name w:val="Body Text1"/>
    <w:aliases w:val="OPM,Body text,OPM + Bold,OPM Char1 Char Char,Body text Char Char,OPM + Bold + Bold,Italic + Bold + Bold,Italic + Bold,...,Body text Char Char + (Complex) 13.5 pt,Body text Char Char + B...,OPMi,OPM Char1 Char,OPM + 9 pt,Italic,OPM + 10 pt,NPM"/>
    <w:basedOn w:val="Normal"/>
    <w:link w:val="BodyText1Char"/>
    <w:uiPriority w:val="99"/>
    <w:qFormat/>
    <w:rsid w:val="00D61E15"/>
    <w:pPr>
      <w:spacing w:after="240" w:line="240" w:lineRule="auto"/>
    </w:pPr>
    <w:rPr>
      <w:rFonts w:eastAsia="Times New Roman" w:cs="Times New Roman"/>
      <w:szCs w:val="20"/>
      <w:lang w:eastAsia="en-US"/>
    </w:rPr>
  </w:style>
  <w:style w:type="table" w:styleId="LightShading-Accent3">
    <w:name w:val="Light Shading Accent 3"/>
    <w:basedOn w:val="TableNormal"/>
    <w:uiPriority w:val="60"/>
    <w:rsid w:val="00D61E15"/>
    <w:rPr>
      <w:color w:val="26B477" w:themeColor="accent3" w:themeShade="BF"/>
      <w:sz w:val="22"/>
      <w:szCs w:val="22"/>
    </w:rPr>
    <w:tblPr>
      <w:tblStyleRowBandSize w:val="1"/>
      <w:tblStyleColBandSize w:val="1"/>
      <w:tblBorders>
        <w:top w:val="single" w:sz="8" w:space="0" w:color="4CD99D" w:themeColor="accent3"/>
        <w:bottom w:val="single" w:sz="8" w:space="0" w:color="4CD99D" w:themeColor="accent3"/>
      </w:tblBorders>
    </w:tblPr>
    <w:tblStylePr w:type="firstRow">
      <w:pPr>
        <w:spacing w:before="0" w:after="0" w:line="240" w:lineRule="auto"/>
      </w:pPr>
      <w:rPr>
        <w:b/>
        <w:bCs/>
      </w:rPr>
      <w:tblPr/>
      <w:tcPr>
        <w:tcBorders>
          <w:top w:val="single" w:sz="8" w:space="0" w:color="4CD99D" w:themeColor="accent3"/>
          <w:left w:val="nil"/>
          <w:bottom w:val="single" w:sz="8" w:space="0" w:color="4CD99D" w:themeColor="accent3"/>
          <w:right w:val="nil"/>
          <w:insideH w:val="nil"/>
          <w:insideV w:val="nil"/>
        </w:tcBorders>
      </w:tcPr>
    </w:tblStylePr>
    <w:tblStylePr w:type="lastRow">
      <w:pPr>
        <w:spacing w:before="0" w:after="0" w:line="240" w:lineRule="auto"/>
      </w:pPr>
      <w:rPr>
        <w:b/>
        <w:bCs/>
      </w:rPr>
      <w:tblPr/>
      <w:tcPr>
        <w:tcBorders>
          <w:top w:val="single" w:sz="8" w:space="0" w:color="4CD99D" w:themeColor="accent3"/>
          <w:left w:val="nil"/>
          <w:bottom w:val="single" w:sz="8" w:space="0" w:color="4CD99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F5E6" w:themeFill="accent3" w:themeFillTint="3F"/>
      </w:tcPr>
    </w:tblStylePr>
    <w:tblStylePr w:type="band1Horz">
      <w:tblPr/>
      <w:tcPr>
        <w:tcBorders>
          <w:left w:val="nil"/>
          <w:right w:val="nil"/>
          <w:insideH w:val="nil"/>
          <w:insideV w:val="nil"/>
        </w:tcBorders>
        <w:shd w:val="clear" w:color="auto" w:fill="D2F5E6" w:themeFill="accent3" w:themeFillTint="3F"/>
      </w:tcPr>
    </w:tblStylePr>
  </w:style>
  <w:style w:type="table" w:customStyle="1" w:styleId="MediumShading1-Accent11">
    <w:name w:val="Medium Shading 1 - Accent 11"/>
    <w:basedOn w:val="TableNormal"/>
    <w:uiPriority w:val="63"/>
    <w:rsid w:val="00D61E15"/>
    <w:rPr>
      <w:rFonts w:ascii="Arial" w:hAnsi="Arial"/>
      <w:sz w:val="22"/>
      <w:szCs w:val="22"/>
      <w:lang w:val="en-GB"/>
    </w:rPr>
    <w:tblPr>
      <w:tblStyleRowBandSize w:val="1"/>
      <w:tblStyleColBandSize w:val="1"/>
      <w:tblBorders>
        <w:top w:val="single" w:sz="8" w:space="0" w:color="73BCE8" w:themeColor="accent1" w:themeTint="BF"/>
        <w:left w:val="single" w:sz="8" w:space="0" w:color="73BCE8" w:themeColor="accent1" w:themeTint="BF"/>
        <w:bottom w:val="single" w:sz="8" w:space="0" w:color="73BCE8" w:themeColor="accent1" w:themeTint="BF"/>
        <w:right w:val="single" w:sz="8" w:space="0" w:color="73BCE8" w:themeColor="accent1" w:themeTint="BF"/>
        <w:insideH w:val="single" w:sz="8" w:space="0" w:color="73BCE8" w:themeColor="accent1" w:themeTint="BF"/>
      </w:tblBorders>
    </w:tblPr>
    <w:tblStylePr w:type="firstRow">
      <w:pPr>
        <w:spacing w:before="0" w:after="0" w:line="240" w:lineRule="auto"/>
      </w:pPr>
      <w:rPr>
        <w:b/>
        <w:bCs/>
        <w:color w:val="FFFFFF" w:themeColor="background1"/>
      </w:rPr>
      <w:tblPr/>
      <w:tcPr>
        <w:tcBorders>
          <w:top w:val="single" w:sz="8" w:space="0" w:color="73BCE8" w:themeColor="accent1" w:themeTint="BF"/>
          <w:left w:val="single" w:sz="8" w:space="0" w:color="73BCE8" w:themeColor="accent1" w:themeTint="BF"/>
          <w:bottom w:val="single" w:sz="8" w:space="0" w:color="73BCE8" w:themeColor="accent1" w:themeTint="BF"/>
          <w:right w:val="single" w:sz="8" w:space="0" w:color="73BCE8" w:themeColor="accent1" w:themeTint="BF"/>
          <w:insideH w:val="nil"/>
          <w:insideV w:val="nil"/>
        </w:tcBorders>
        <w:shd w:val="clear" w:color="auto" w:fill="45A7E1" w:themeFill="accent1"/>
      </w:tcPr>
    </w:tblStylePr>
    <w:tblStylePr w:type="lastRow">
      <w:pPr>
        <w:spacing w:before="0" w:after="0" w:line="240" w:lineRule="auto"/>
      </w:pPr>
      <w:rPr>
        <w:b/>
        <w:bCs/>
      </w:rPr>
      <w:tblPr/>
      <w:tcPr>
        <w:tcBorders>
          <w:top w:val="double" w:sz="6" w:space="0" w:color="73BCE8" w:themeColor="accent1" w:themeTint="BF"/>
          <w:left w:val="single" w:sz="8" w:space="0" w:color="73BCE8" w:themeColor="accent1" w:themeTint="BF"/>
          <w:bottom w:val="single" w:sz="8" w:space="0" w:color="73BCE8" w:themeColor="accent1" w:themeTint="BF"/>
          <w:right w:val="single" w:sz="8" w:space="0" w:color="73BCE8"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E9F7" w:themeFill="accent1" w:themeFillTint="3F"/>
      </w:tcPr>
    </w:tblStylePr>
    <w:tblStylePr w:type="band1Horz">
      <w:tblPr/>
      <w:tcPr>
        <w:tcBorders>
          <w:insideH w:val="nil"/>
          <w:insideV w:val="nil"/>
        </w:tcBorders>
        <w:shd w:val="clear" w:color="auto" w:fill="D0E9F7" w:themeFill="accent1" w:themeFillTint="3F"/>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D61E15"/>
    <w:rPr>
      <w:color w:val="1E82BD" w:themeColor="accent1" w:themeShade="BF"/>
      <w:sz w:val="22"/>
      <w:szCs w:val="22"/>
    </w:rPr>
    <w:tblPr>
      <w:tblStyleRowBandSize w:val="1"/>
      <w:tblStyleColBandSize w:val="1"/>
      <w:tblBorders>
        <w:top w:val="single" w:sz="8" w:space="0" w:color="45A7E1" w:themeColor="accent1"/>
        <w:bottom w:val="single" w:sz="8" w:space="0" w:color="45A7E1" w:themeColor="accent1"/>
      </w:tblBorders>
    </w:tblPr>
    <w:tblStylePr w:type="firstRow">
      <w:pPr>
        <w:spacing w:before="0" w:after="0" w:line="240" w:lineRule="auto"/>
      </w:pPr>
      <w:rPr>
        <w:b/>
        <w:bCs/>
      </w:rPr>
      <w:tblPr/>
      <w:tcPr>
        <w:tcBorders>
          <w:top w:val="single" w:sz="8" w:space="0" w:color="45A7E1" w:themeColor="accent1"/>
          <w:left w:val="nil"/>
          <w:bottom w:val="single" w:sz="8" w:space="0" w:color="45A7E1" w:themeColor="accent1"/>
          <w:right w:val="nil"/>
          <w:insideH w:val="nil"/>
          <w:insideV w:val="nil"/>
        </w:tcBorders>
      </w:tcPr>
    </w:tblStylePr>
    <w:tblStylePr w:type="lastRow">
      <w:pPr>
        <w:spacing w:before="0" w:after="0" w:line="240" w:lineRule="auto"/>
      </w:pPr>
      <w:rPr>
        <w:b/>
        <w:bCs/>
      </w:rPr>
      <w:tblPr/>
      <w:tcPr>
        <w:tcBorders>
          <w:top w:val="single" w:sz="8" w:space="0" w:color="45A7E1" w:themeColor="accent1"/>
          <w:left w:val="nil"/>
          <w:bottom w:val="single" w:sz="8" w:space="0" w:color="45A7E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9F7" w:themeFill="accent1" w:themeFillTint="3F"/>
      </w:tcPr>
    </w:tblStylePr>
    <w:tblStylePr w:type="band1Horz">
      <w:tblPr/>
      <w:tcPr>
        <w:tcBorders>
          <w:left w:val="nil"/>
          <w:right w:val="nil"/>
          <w:insideH w:val="nil"/>
          <w:insideV w:val="nil"/>
        </w:tcBorders>
        <w:shd w:val="clear" w:color="auto" w:fill="D0E9F7" w:themeFill="accent1" w:themeFillTint="3F"/>
      </w:tcPr>
    </w:tblStylePr>
  </w:style>
  <w:style w:type="paragraph" w:styleId="TOC4">
    <w:name w:val="toc 4"/>
    <w:basedOn w:val="TOC2"/>
    <w:next w:val="Normal"/>
    <w:autoRedefine/>
    <w:uiPriority w:val="39"/>
    <w:rsid w:val="00DF7F2D"/>
    <w:pPr>
      <w:spacing w:before="0"/>
      <w:ind w:left="440"/>
    </w:pPr>
    <w:rPr>
      <w:b w:val="0"/>
      <w:bCs w:val="0"/>
    </w:rPr>
  </w:style>
  <w:style w:type="paragraph" w:styleId="TOC9">
    <w:name w:val="toc 9"/>
    <w:basedOn w:val="TOC1"/>
    <w:autoRedefine/>
    <w:uiPriority w:val="39"/>
    <w:locked/>
    <w:rsid w:val="00D61E15"/>
    <w:pPr>
      <w:spacing w:before="0"/>
      <w:ind w:left="1540"/>
    </w:pPr>
    <w:rPr>
      <w:rFonts w:asciiTheme="minorHAnsi" w:hAnsiTheme="minorHAnsi" w:cstheme="minorHAnsi"/>
      <w:b w:val="0"/>
      <w:bCs w:val="0"/>
      <w:caps w:val="0"/>
      <w:szCs w:val="20"/>
    </w:rPr>
  </w:style>
  <w:style w:type="table" w:customStyle="1" w:styleId="OPMNewTable">
    <w:name w:val="OPM New Table"/>
    <w:basedOn w:val="TableNormal"/>
    <w:uiPriority w:val="99"/>
    <w:rsid w:val="00D61E15"/>
    <w:pPr>
      <w:ind w:left="113" w:right="113"/>
      <w:jc w:val="center"/>
    </w:pPr>
    <w:rPr>
      <w:rFonts w:ascii="Arial" w:eastAsia="Times New Roman" w:hAnsi="Arial" w:cs="Times New Roman"/>
      <w:sz w:val="20"/>
      <w:szCs w:val="20"/>
      <w:lang w:val="en-GB"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Pr>
    <w:tcPr>
      <w:shd w:val="clear" w:color="auto" w:fill="D6D7D9"/>
      <w:vAlign w:val="center"/>
    </w:tcPr>
    <w:tblStylePr w:type="firstRow">
      <w:pPr>
        <w:wordWrap/>
        <w:spacing w:beforeLines="0" w:beforeAutospacing="0" w:afterLines="0" w:afterAutospacing="0"/>
        <w:contextualSpacing w:val="0"/>
        <w:jc w:val="right"/>
      </w:pPr>
      <w:rPr>
        <w:rFonts w:ascii="Arial" w:hAnsi="Arial"/>
        <w:b/>
        <w:color w:val="0B1F51"/>
        <w:sz w:val="20"/>
      </w:rPr>
      <w:tblPr>
        <w:tblCellMar>
          <w:top w:w="57" w:type="dxa"/>
          <w:left w:w="0" w:type="dxa"/>
          <w:bottom w:w="57" w:type="dxa"/>
          <w:right w:w="0" w:type="dxa"/>
        </w:tblCellMar>
      </w:tblPr>
      <w:tcPr>
        <w:shd w:val="clear" w:color="auto" w:fill="002147"/>
      </w:tcPr>
    </w:tblStylePr>
    <w:tblStylePr w:type="lastRow">
      <w:pPr>
        <w:jc w:val="left"/>
      </w:pPr>
      <w:rPr>
        <w:rFonts w:ascii="Arial" w:hAnsi="Arial"/>
        <w:b w:val="0"/>
        <w:color w:val="FFFFFF" w:themeColor="background1"/>
        <w:sz w:val="20"/>
      </w:rPr>
      <w:tblPr/>
      <w:tcPr>
        <w:shd w:val="clear" w:color="auto" w:fill="7A7A7A"/>
      </w:tcPr>
    </w:tblStylePr>
    <w:tblStylePr w:type="firstCol">
      <w:pPr>
        <w:jc w:val="left"/>
      </w:pPr>
      <w:rPr>
        <w:rFonts w:ascii="Arial" w:hAnsi="Arial"/>
        <w:b/>
        <w:color w:val="FFFFFF" w:themeColor="background1"/>
        <w:sz w:val="20"/>
      </w:rPr>
      <w:tblPr/>
      <w:tcPr>
        <w:shd w:val="clear" w:color="auto" w:fill="AFB1B3"/>
      </w:tcPr>
    </w:tblStylePr>
    <w:tblStylePr w:type="lastCol">
      <w:rPr>
        <w:rFonts w:ascii="Arial" w:hAnsi="Arial"/>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StylePr>
    <w:tblStylePr w:type="neCell">
      <w:rPr>
        <w:rFonts w:ascii="Arial" w:hAnsi="Arial"/>
        <w:sz w:val="20"/>
      </w:rPr>
    </w:tblStylePr>
    <w:tblStylePr w:type="nwCell">
      <w:pPr>
        <w:jc w:val="left"/>
      </w:pPr>
      <w:rPr>
        <w:rFonts w:ascii="Arial" w:hAnsi="Arial"/>
        <w:b/>
        <w:color w:val="0B1F51"/>
        <w:sz w:val="20"/>
      </w:rPr>
    </w:tblStylePr>
    <w:tblStylePr w:type="seCell">
      <w:rPr>
        <w:rFonts w:ascii="Arial" w:hAnsi="Arial"/>
        <w:sz w:val="20"/>
      </w:rPr>
    </w:tblStylePr>
    <w:tblStylePr w:type="swCell">
      <w:rPr>
        <w:rFonts w:ascii="Arial" w:hAnsi="Arial"/>
        <w:sz w:val="20"/>
      </w:rPr>
    </w:tblStylePr>
  </w:style>
  <w:style w:type="numbering" w:customStyle="1" w:styleId="ListBullets1">
    <w:name w:val="ListBullets1"/>
    <w:uiPriority w:val="99"/>
    <w:rsid w:val="00D61E15"/>
  </w:style>
  <w:style w:type="paragraph" w:customStyle="1" w:styleId="Listletter0">
    <w:name w:val="List letter"/>
    <w:basedOn w:val="Normal"/>
    <w:rsid w:val="00D61E15"/>
    <w:pPr>
      <w:spacing w:after="60" w:line="240" w:lineRule="auto"/>
      <w:ind w:left="360" w:hanging="360"/>
    </w:pPr>
    <w:rPr>
      <w:rFonts w:eastAsia="Times New Roman" w:cs="Times New Roman"/>
      <w:szCs w:val="20"/>
      <w:lang w:eastAsia="en-US"/>
    </w:rPr>
  </w:style>
  <w:style w:type="paragraph" w:customStyle="1" w:styleId="Listletterfinal0">
    <w:name w:val="List letter final"/>
    <w:basedOn w:val="Listletter0"/>
    <w:next w:val="Normal"/>
    <w:rsid w:val="00D61E15"/>
    <w:pPr>
      <w:spacing w:after="240"/>
      <w:ind w:left="357" w:hanging="357"/>
    </w:pPr>
  </w:style>
  <w:style w:type="paragraph" w:customStyle="1" w:styleId="ListNumber1">
    <w:name w:val="List Number1"/>
    <w:basedOn w:val="Normal"/>
    <w:rsid w:val="00D61E15"/>
    <w:pPr>
      <w:numPr>
        <w:numId w:val="17"/>
      </w:numPr>
      <w:spacing w:after="60" w:line="240" w:lineRule="auto"/>
    </w:pPr>
    <w:rPr>
      <w:rFonts w:eastAsia="Times New Roman" w:cs="Times New Roman"/>
      <w:szCs w:val="20"/>
      <w:lang w:eastAsia="en-US"/>
    </w:rPr>
  </w:style>
  <w:style w:type="paragraph" w:customStyle="1" w:styleId="Listnumberfinal">
    <w:name w:val="List number final"/>
    <w:basedOn w:val="ListNumber1"/>
    <w:next w:val="OPMBodytext"/>
    <w:rsid w:val="00D61E15"/>
    <w:pPr>
      <w:spacing w:after="240"/>
    </w:pPr>
  </w:style>
  <w:style w:type="paragraph" w:customStyle="1" w:styleId="Numberedparagraph">
    <w:name w:val="Numbered paragraph"/>
    <w:basedOn w:val="Normal"/>
    <w:rsid w:val="00D61E15"/>
    <w:pPr>
      <w:numPr>
        <w:numId w:val="11"/>
      </w:numPr>
      <w:tabs>
        <w:tab w:val="left" w:pos="1077"/>
      </w:tabs>
      <w:spacing w:after="240" w:line="240" w:lineRule="auto"/>
      <w:ind w:left="0" w:firstLine="0"/>
    </w:pPr>
    <w:rPr>
      <w:rFonts w:eastAsia="Times New Roman" w:cs="Times New Roman"/>
      <w:szCs w:val="20"/>
      <w:lang w:eastAsia="en-US"/>
    </w:rPr>
  </w:style>
  <w:style w:type="paragraph" w:styleId="DocumentMap">
    <w:name w:val="Document Map"/>
    <w:basedOn w:val="Normal"/>
    <w:link w:val="DocumentMapChar"/>
    <w:uiPriority w:val="99"/>
    <w:semiHidden/>
    <w:rsid w:val="00D61E15"/>
    <w:pPr>
      <w:spacing w:after="0" w:line="240" w:lineRule="auto"/>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uiPriority w:val="99"/>
    <w:semiHidden/>
    <w:rsid w:val="00D61E15"/>
    <w:rPr>
      <w:rFonts w:ascii="Tahoma" w:eastAsia="Times New Roman" w:hAnsi="Tahoma" w:cs="Tahoma"/>
      <w:sz w:val="16"/>
      <w:szCs w:val="16"/>
      <w:lang w:val="en-GB"/>
    </w:rPr>
  </w:style>
  <w:style w:type="paragraph" w:styleId="NormalIndent">
    <w:name w:val="Normal Indent"/>
    <w:basedOn w:val="Normal"/>
    <w:uiPriority w:val="99"/>
    <w:semiHidden/>
    <w:rsid w:val="00D61E15"/>
    <w:pPr>
      <w:spacing w:after="240" w:line="240" w:lineRule="auto"/>
      <w:ind w:left="567" w:hanging="567"/>
    </w:pPr>
    <w:rPr>
      <w:rFonts w:eastAsia="Times New Roman" w:cs="Times New Roman"/>
      <w:szCs w:val="20"/>
      <w:lang w:eastAsia="en-US"/>
    </w:rPr>
  </w:style>
  <w:style w:type="paragraph" w:customStyle="1" w:styleId="TOCtitle0">
    <w:name w:val="TOCtitle"/>
    <w:basedOn w:val="Normal"/>
    <w:qFormat/>
    <w:rsid w:val="00D61E15"/>
    <w:pPr>
      <w:spacing w:after="400" w:line="240" w:lineRule="auto"/>
    </w:pPr>
    <w:rPr>
      <w:rFonts w:eastAsia="Times New Roman" w:cs="Times New Roman"/>
      <w:b/>
      <w:color w:val="0B1F51"/>
      <w:sz w:val="28"/>
      <w:szCs w:val="28"/>
      <w:lang w:eastAsia="en-US"/>
    </w:rPr>
  </w:style>
  <w:style w:type="paragraph" w:customStyle="1" w:styleId="Heading5NONUM">
    <w:name w:val="Heading 5 NO NUM"/>
    <w:basedOn w:val="Heading50"/>
    <w:next w:val="OPMBodytext"/>
    <w:qFormat/>
    <w:rsid w:val="00D61E15"/>
    <w:pPr>
      <w:keepLines w:val="0"/>
      <w:spacing w:before="360" w:after="120"/>
    </w:pPr>
    <w:rPr>
      <w:rFonts w:eastAsia="Times New Roman" w:cs="Times New Roman"/>
      <w:iCs w:val="0"/>
      <w:color w:val="auto"/>
      <w:kern w:val="32"/>
      <w:szCs w:val="28"/>
      <w:lang w:eastAsia="en-US"/>
    </w:rPr>
  </w:style>
  <w:style w:type="paragraph" w:customStyle="1" w:styleId="Heading4NONUM">
    <w:name w:val="Heading 4 NO NUM"/>
    <w:basedOn w:val="Heading4"/>
    <w:next w:val="OPMBodytext"/>
    <w:qFormat/>
    <w:rsid w:val="00D61E15"/>
    <w:pPr>
      <w:keepLines w:val="0"/>
      <w:spacing w:before="360" w:after="120"/>
    </w:pPr>
    <w:rPr>
      <w:rFonts w:eastAsia="Times New Roman" w:cs="Times New Roman"/>
      <w:iCs w:val="0"/>
      <w:color w:val="auto"/>
      <w:kern w:val="32"/>
      <w:szCs w:val="28"/>
      <w:lang w:eastAsia="en-US"/>
    </w:rPr>
  </w:style>
  <w:style w:type="paragraph" w:styleId="Bibliography">
    <w:name w:val="Bibliography"/>
    <w:basedOn w:val="Normal"/>
    <w:next w:val="Normal"/>
    <w:uiPriority w:val="37"/>
    <w:semiHidden/>
    <w:rsid w:val="00D61E15"/>
    <w:pPr>
      <w:spacing w:after="0" w:line="240" w:lineRule="auto"/>
    </w:pPr>
    <w:rPr>
      <w:rFonts w:eastAsia="Times New Roman" w:cs="Times New Roman"/>
      <w:szCs w:val="20"/>
      <w:lang w:eastAsia="en-US"/>
    </w:rPr>
  </w:style>
  <w:style w:type="character" w:styleId="BookTitle">
    <w:name w:val="Book Title"/>
    <w:basedOn w:val="DefaultParagraphFont"/>
    <w:uiPriority w:val="33"/>
    <w:qFormat/>
    <w:locked/>
    <w:rsid w:val="00D61E15"/>
    <w:rPr>
      <w:b/>
      <w:bCs/>
      <w:smallCaps/>
      <w:spacing w:val="5"/>
    </w:rPr>
  </w:style>
  <w:style w:type="table" w:customStyle="1" w:styleId="OPMNewBox">
    <w:name w:val="OPM New Box"/>
    <w:basedOn w:val="TableNormal"/>
    <w:uiPriority w:val="99"/>
    <w:rsid w:val="00D61E15"/>
    <w:rPr>
      <w:rFonts w:ascii="Arial" w:eastAsia="Times New Roman" w:hAnsi="Arial" w:cs="Times New Roman"/>
      <w:sz w:val="20"/>
      <w:szCs w:val="20"/>
      <w:lang w:val="en-GB" w:eastAsia="en-GB"/>
    </w:rPr>
    <w:tblPr/>
    <w:tcPr>
      <w:shd w:val="clear" w:color="auto" w:fill="E2EBF7"/>
      <w:vAlign w:val="center"/>
    </w:tcPr>
    <w:tblStylePr w:type="firstRow">
      <w:pPr>
        <w:wordWrap/>
        <w:spacing w:beforeLines="0" w:beforeAutospacing="0" w:afterLines="0" w:afterAutospacing="0"/>
        <w:contextualSpacing w:val="0"/>
        <w:jc w:val="left"/>
      </w:pPr>
      <w:rPr>
        <w:rFonts w:ascii="Arial" w:hAnsi="Arial"/>
        <w:b/>
        <w:sz w:val="22"/>
      </w:rPr>
      <w:tblPr/>
      <w:tcPr>
        <w:tcBorders>
          <w:top w:val="nil"/>
          <w:left w:val="nil"/>
          <w:bottom w:val="nil"/>
          <w:right w:val="nil"/>
          <w:insideH w:val="nil"/>
          <w:insideV w:val="nil"/>
        </w:tcBorders>
        <w:shd w:val="clear" w:color="auto" w:fill="0B1F51"/>
        <w:vAlign w:val="center"/>
      </w:tcPr>
    </w:tblStylePr>
    <w:tblStylePr w:type="lastRow">
      <w:tblPr/>
      <w:tcPr>
        <w:tcBorders>
          <w:top w:val="nil"/>
          <w:left w:val="nil"/>
          <w:bottom w:val="nil"/>
          <w:right w:val="nil"/>
          <w:insideH w:val="nil"/>
          <w:insideV w:val="nil"/>
        </w:tcBorders>
        <w:shd w:val="clear" w:color="auto" w:fill="E2EBF7"/>
      </w:tcPr>
    </w:tblStylePr>
  </w:style>
  <w:style w:type="character" w:customStyle="1" w:styleId="BodyText1Char">
    <w:name w:val="Body Text1 Char"/>
    <w:aliases w:val="OPM Char,Body text Char,OPM Char1,OPM + Bold Char,OPM + Bold + Bold Char,Italic + Bold + Bold Char,Italic + Bold Char,... Char,OPM Char1 Char Char1,OPM Char Char,Body text Char Char Char,Body Text Char2,Body Text Char3,Body Text 12 Char"/>
    <w:basedOn w:val="DefaultParagraphFont"/>
    <w:link w:val="BodyText1"/>
    <w:uiPriority w:val="99"/>
    <w:rsid w:val="00D61E15"/>
    <w:rPr>
      <w:rFonts w:ascii="Arial" w:eastAsia="Times New Roman" w:hAnsi="Arial" w:cs="Times New Roman"/>
      <w:sz w:val="22"/>
      <w:szCs w:val="20"/>
      <w:lang w:val="en-GB"/>
    </w:rPr>
  </w:style>
  <w:style w:type="paragraph" w:customStyle="1" w:styleId="CVTitle">
    <w:name w:val="CV_Title"/>
    <w:basedOn w:val="Normal"/>
    <w:next w:val="CVOPMcontactdetails"/>
    <w:rsid w:val="00D61E15"/>
    <w:pPr>
      <w:keepNext/>
      <w:pageBreakBefore/>
      <w:spacing w:after="0" w:line="240" w:lineRule="auto"/>
      <w:outlineLvl w:val="2"/>
    </w:pPr>
    <w:rPr>
      <w:rFonts w:eastAsia="Times New Roman" w:cs="Times New Roman"/>
      <w:b/>
      <w:color w:val="003366"/>
      <w:sz w:val="28"/>
      <w:szCs w:val="20"/>
      <w:lang w:eastAsia="en-US"/>
    </w:rPr>
  </w:style>
  <w:style w:type="paragraph" w:customStyle="1" w:styleId="Projtitle">
    <w:name w:val="Projtitle"/>
    <w:basedOn w:val="Normal"/>
    <w:next w:val="Normal"/>
    <w:qFormat/>
    <w:rsid w:val="00D61E15"/>
    <w:pPr>
      <w:spacing w:before="4000" w:after="0"/>
    </w:pPr>
    <w:rPr>
      <w:rFonts w:ascii="Georgia" w:eastAsia="Times New Roman" w:hAnsi="Georgia" w:cs="Times New Roman"/>
      <w:b/>
      <w:color w:val="002147"/>
      <w:kern w:val="28"/>
      <w:sz w:val="48"/>
      <w:szCs w:val="20"/>
      <w:lang w:eastAsia="en-US"/>
    </w:rPr>
  </w:style>
  <w:style w:type="paragraph" w:customStyle="1" w:styleId="CVEntryblocktext">
    <w:name w:val="CV_Entry block text"/>
    <w:basedOn w:val="Normal"/>
    <w:rsid w:val="00D61E15"/>
    <w:pPr>
      <w:spacing w:after="240" w:line="240" w:lineRule="auto"/>
      <w:ind w:left="1985"/>
      <w:jc w:val="both"/>
    </w:pPr>
    <w:rPr>
      <w:rFonts w:eastAsia="Times New Roman" w:cs="Times New Roman"/>
      <w:szCs w:val="20"/>
      <w:lang w:eastAsia="en-US"/>
    </w:rPr>
  </w:style>
  <w:style w:type="paragraph" w:customStyle="1" w:styleId="CVEntrytitlerow">
    <w:name w:val="CV_Entry title row"/>
    <w:basedOn w:val="Normal"/>
    <w:next w:val="CVEntryblocktext"/>
    <w:rsid w:val="00D61E15"/>
    <w:pPr>
      <w:keepNext/>
      <w:spacing w:before="240" w:after="0" w:line="240" w:lineRule="auto"/>
      <w:ind w:left="1985" w:hanging="1985"/>
      <w:jc w:val="both"/>
    </w:pPr>
    <w:rPr>
      <w:rFonts w:eastAsia="Times New Roman" w:cs="Times New Roman"/>
      <w:szCs w:val="20"/>
      <w:lang w:eastAsia="en-US"/>
    </w:rPr>
  </w:style>
  <w:style w:type="paragraph" w:customStyle="1" w:styleId="CVHeading">
    <w:name w:val="CV_Heading"/>
    <w:basedOn w:val="Normal"/>
    <w:next w:val="CVEntrytitlerow"/>
    <w:rsid w:val="00D61E15"/>
    <w:pPr>
      <w:keepNext/>
      <w:pBdr>
        <w:top w:val="single" w:sz="4" w:space="6" w:color="auto"/>
      </w:pBdr>
      <w:spacing w:before="120" w:after="120" w:line="240" w:lineRule="auto"/>
    </w:pPr>
    <w:rPr>
      <w:rFonts w:eastAsia="Times New Roman" w:cs="Times New Roman"/>
      <w:b/>
      <w:caps/>
      <w:szCs w:val="20"/>
      <w:lang w:eastAsia="en-US"/>
    </w:rPr>
  </w:style>
  <w:style w:type="paragraph" w:customStyle="1" w:styleId="CVListbullet">
    <w:name w:val="CV_List bullet"/>
    <w:basedOn w:val="Normal"/>
    <w:rsid w:val="00D61E15"/>
    <w:pPr>
      <w:numPr>
        <w:numId w:val="12"/>
      </w:numPr>
      <w:tabs>
        <w:tab w:val="clear" w:pos="2625"/>
      </w:tabs>
      <w:spacing w:after="0" w:line="240" w:lineRule="auto"/>
      <w:ind w:left="2342"/>
      <w:jc w:val="both"/>
    </w:pPr>
    <w:rPr>
      <w:rFonts w:eastAsia="Times New Roman" w:cs="Times New Roman"/>
      <w:szCs w:val="20"/>
      <w:lang w:eastAsia="en-US"/>
    </w:rPr>
  </w:style>
  <w:style w:type="paragraph" w:customStyle="1" w:styleId="CVListsub-bullet">
    <w:name w:val="CV_List sub-bullet"/>
    <w:basedOn w:val="Normal"/>
    <w:rsid w:val="00D61E15"/>
    <w:pPr>
      <w:numPr>
        <w:numId w:val="13"/>
      </w:numPr>
      <w:tabs>
        <w:tab w:val="clear" w:pos="2985"/>
      </w:tabs>
      <w:spacing w:after="0" w:line="240" w:lineRule="auto"/>
      <w:ind w:left="2699" w:hanging="357"/>
      <w:jc w:val="both"/>
    </w:pPr>
    <w:rPr>
      <w:rFonts w:eastAsia="Times New Roman" w:cs="Times New Roman"/>
      <w:szCs w:val="20"/>
      <w:lang w:eastAsia="en-US"/>
    </w:rPr>
  </w:style>
  <w:style w:type="paragraph" w:customStyle="1" w:styleId="CVOPMcontactdetails">
    <w:name w:val="CV_OPM contact details"/>
    <w:basedOn w:val="Normal"/>
    <w:rsid w:val="00D61E15"/>
    <w:pPr>
      <w:keepNext/>
      <w:tabs>
        <w:tab w:val="left" w:pos="2268"/>
      </w:tabs>
      <w:spacing w:after="240" w:line="240" w:lineRule="auto"/>
      <w:ind w:right="4820"/>
      <w:contextualSpacing/>
    </w:pPr>
    <w:rPr>
      <w:rFonts w:eastAsia="Times New Roman" w:cs="Times New Roman"/>
      <w:color w:val="48B8CE"/>
      <w:sz w:val="16"/>
      <w:szCs w:val="20"/>
      <w:lang w:eastAsia="en-US"/>
    </w:rPr>
  </w:style>
  <w:style w:type="table" w:customStyle="1" w:styleId="CVTable">
    <w:name w:val="CV_Table"/>
    <w:basedOn w:val="TableNormal"/>
    <w:rsid w:val="00D61E15"/>
    <w:pPr>
      <w:jc w:val="both"/>
    </w:pPr>
    <w:rPr>
      <w:rFonts w:ascii="Arial" w:eastAsia="Times New Roman" w:hAnsi="Arial" w:cs="Times New Roman"/>
      <w:sz w:val="22"/>
      <w:szCs w:val="20"/>
      <w:lang w:val="en-GB" w:eastAsia="en-GB"/>
    </w:rPr>
    <w:tblPr>
      <w:tblCellMar>
        <w:left w:w="0" w:type="dxa"/>
        <w:right w:w="0" w:type="dxa"/>
      </w:tblCellMar>
    </w:tblPr>
    <w:trPr>
      <w:cantSplit/>
    </w:trPr>
    <w:tblStylePr w:type="firstCol">
      <w:pPr>
        <w:wordWrap/>
        <w:spacing w:afterLines="100" w:afterAutospacing="0"/>
      </w:pPr>
      <w:rPr>
        <w:rFonts w:ascii="Arial" w:hAnsi="Arial"/>
        <w:b/>
        <w:caps/>
        <w:smallCaps w:val="0"/>
        <w:sz w:val="22"/>
      </w:rPr>
    </w:tblStylePr>
    <w:tblStylePr w:type="lastCol">
      <w:pPr>
        <w:wordWrap/>
        <w:spacing w:afterLines="100" w:afterAutospacing="0"/>
        <w:jc w:val="both"/>
      </w:pPr>
      <w:rPr>
        <w:rFonts w:ascii="Arial" w:hAnsi="Arial"/>
        <w:sz w:val="22"/>
      </w:rPr>
      <w:tblPr/>
      <w:trPr>
        <w:cantSplit/>
      </w:trPr>
    </w:tblStylePr>
  </w:style>
  <w:style w:type="paragraph" w:customStyle="1" w:styleId="CVVitalsheading">
    <w:name w:val="CV_Vitals heading"/>
    <w:basedOn w:val="Normal"/>
    <w:rsid w:val="00D61E15"/>
    <w:pPr>
      <w:spacing w:afterLines="100" w:line="240" w:lineRule="auto"/>
    </w:pPr>
    <w:rPr>
      <w:rFonts w:eastAsia="Times New Roman" w:cs="Times New Roman"/>
      <w:b/>
      <w:caps/>
      <w:szCs w:val="20"/>
      <w:lang w:eastAsia="en-US"/>
    </w:rPr>
  </w:style>
  <w:style w:type="paragraph" w:customStyle="1" w:styleId="CVRespb1">
    <w:name w:val="CV_Respb1"/>
    <w:basedOn w:val="Normal"/>
    <w:qFormat/>
    <w:rsid w:val="00D61E15"/>
    <w:pPr>
      <w:numPr>
        <w:numId w:val="14"/>
      </w:numPr>
      <w:tabs>
        <w:tab w:val="left" w:pos="2325"/>
      </w:tabs>
      <w:spacing w:after="0" w:line="240" w:lineRule="auto"/>
      <w:ind w:left="2325" w:hanging="340"/>
    </w:pPr>
    <w:rPr>
      <w:rFonts w:eastAsia="Times New Roman"/>
      <w:szCs w:val="20"/>
      <w:lang w:eastAsia="en-US"/>
    </w:rPr>
  </w:style>
  <w:style w:type="paragraph" w:customStyle="1" w:styleId="ListNumber2">
    <w:name w:val="List Number2"/>
    <w:basedOn w:val="Normal"/>
    <w:rsid w:val="00D61E15"/>
    <w:pPr>
      <w:tabs>
        <w:tab w:val="num" w:pos="357"/>
      </w:tabs>
      <w:spacing w:after="60" w:line="240" w:lineRule="auto"/>
      <w:ind w:left="357" w:hanging="357"/>
      <w:jc w:val="both"/>
    </w:pPr>
    <w:rPr>
      <w:rFonts w:eastAsia="Times New Roman" w:cs="Times New Roman"/>
      <w:szCs w:val="20"/>
      <w:lang w:eastAsia="en-US"/>
    </w:rPr>
  </w:style>
  <w:style w:type="paragraph" w:customStyle="1" w:styleId="HeadingOPM3">
    <w:name w:val="HeadingOPM 3"/>
    <w:basedOn w:val="OPMHeading3"/>
    <w:link w:val="HeadingOPM3Char"/>
    <w:qFormat/>
    <w:rsid w:val="00D61E15"/>
    <w:pPr>
      <w:numPr>
        <w:numId w:val="15"/>
      </w:numPr>
      <w:tabs>
        <w:tab w:val="num" w:pos="851"/>
      </w:tabs>
      <w:ind w:left="851" w:hanging="851"/>
    </w:pPr>
  </w:style>
  <w:style w:type="paragraph" w:customStyle="1" w:styleId="OPMHeading2">
    <w:name w:val="OPMHeading 2"/>
    <w:basedOn w:val="Heading20"/>
    <w:next w:val="OPMBodytext"/>
    <w:link w:val="OPMHeading2Char"/>
    <w:qFormat/>
    <w:rsid w:val="00D61E15"/>
    <w:pPr>
      <w:numPr>
        <w:ilvl w:val="0"/>
        <w:numId w:val="0"/>
      </w:numPr>
      <w:tabs>
        <w:tab w:val="num" w:pos="720"/>
      </w:tabs>
      <w:ind w:left="720" w:hanging="720"/>
    </w:pPr>
    <w:rPr>
      <w:bCs w:val="0"/>
      <w:color w:val="002147"/>
    </w:rPr>
  </w:style>
  <w:style w:type="character" w:customStyle="1" w:styleId="HeadingOPM3Char">
    <w:name w:val="HeadingOPM 3 Char"/>
    <w:basedOn w:val="Heading3Char"/>
    <w:link w:val="HeadingOPM3"/>
    <w:rsid w:val="00D61E15"/>
    <w:rPr>
      <w:rFonts w:ascii="Arial" w:eastAsia="Times New Roman" w:hAnsi="Arial" w:cs="Times New Roman"/>
      <w:b/>
      <w:noProof/>
      <w:color w:val="002147"/>
      <w:kern w:val="32"/>
      <w:sz w:val="26"/>
      <w:szCs w:val="26"/>
      <w:lang w:val="en-GB" w:eastAsia="en-GB"/>
    </w:rPr>
  </w:style>
  <w:style w:type="character" w:customStyle="1" w:styleId="OPMHeading2Char">
    <w:name w:val="OPMHeading 2 Char"/>
    <w:basedOn w:val="Heading2Char"/>
    <w:link w:val="OPMHeading2"/>
    <w:rsid w:val="00D61E15"/>
    <w:rPr>
      <w:rFonts w:ascii="Arial" w:eastAsia="Times New Roman" w:hAnsi="Arial" w:cs="Times New Roman"/>
      <w:b/>
      <w:bCs w:val="0"/>
      <w:color w:val="002147"/>
      <w:kern w:val="32"/>
      <w:sz w:val="28"/>
      <w:szCs w:val="28"/>
      <w:lang w:val="en-GB" w:eastAsia="en-GB"/>
    </w:rPr>
  </w:style>
  <w:style w:type="table" w:customStyle="1" w:styleId="LightList-Accent11">
    <w:name w:val="Light List - Accent 11"/>
    <w:basedOn w:val="TableNormal"/>
    <w:uiPriority w:val="61"/>
    <w:rsid w:val="00D61E15"/>
    <w:rPr>
      <w:sz w:val="22"/>
      <w:szCs w:val="22"/>
    </w:rPr>
    <w:tblPr>
      <w:tblStyleRowBandSize w:val="1"/>
      <w:tblStyleColBandSize w:val="1"/>
      <w:tblBorders>
        <w:top w:val="single" w:sz="8" w:space="0" w:color="45A7E1" w:themeColor="accent1"/>
        <w:left w:val="single" w:sz="8" w:space="0" w:color="45A7E1" w:themeColor="accent1"/>
        <w:bottom w:val="single" w:sz="8" w:space="0" w:color="45A7E1" w:themeColor="accent1"/>
        <w:right w:val="single" w:sz="8" w:space="0" w:color="45A7E1" w:themeColor="accent1"/>
      </w:tblBorders>
    </w:tblPr>
    <w:tblStylePr w:type="firstRow">
      <w:pPr>
        <w:spacing w:before="0" w:after="0" w:line="240" w:lineRule="auto"/>
      </w:pPr>
      <w:rPr>
        <w:b/>
        <w:bCs/>
        <w:color w:val="FFFFFF" w:themeColor="background1"/>
      </w:rPr>
      <w:tblPr/>
      <w:tcPr>
        <w:shd w:val="clear" w:color="auto" w:fill="45A7E1" w:themeFill="accent1"/>
      </w:tcPr>
    </w:tblStylePr>
    <w:tblStylePr w:type="lastRow">
      <w:pPr>
        <w:spacing w:before="0" w:after="0" w:line="240" w:lineRule="auto"/>
      </w:pPr>
      <w:rPr>
        <w:b/>
        <w:bCs/>
      </w:rPr>
      <w:tblPr/>
      <w:tcPr>
        <w:tcBorders>
          <w:top w:val="double" w:sz="6" w:space="0" w:color="45A7E1" w:themeColor="accent1"/>
          <w:left w:val="single" w:sz="8" w:space="0" w:color="45A7E1" w:themeColor="accent1"/>
          <w:bottom w:val="single" w:sz="8" w:space="0" w:color="45A7E1" w:themeColor="accent1"/>
          <w:right w:val="single" w:sz="8" w:space="0" w:color="45A7E1" w:themeColor="accent1"/>
        </w:tcBorders>
      </w:tcPr>
    </w:tblStylePr>
    <w:tblStylePr w:type="firstCol">
      <w:rPr>
        <w:b/>
        <w:bCs/>
      </w:rPr>
    </w:tblStylePr>
    <w:tblStylePr w:type="lastCol">
      <w:rPr>
        <w:b/>
        <w:bCs/>
      </w:rPr>
    </w:tblStylePr>
    <w:tblStylePr w:type="band1Vert">
      <w:tblPr/>
      <w:tcPr>
        <w:tcBorders>
          <w:top w:val="single" w:sz="8" w:space="0" w:color="45A7E1" w:themeColor="accent1"/>
          <w:left w:val="single" w:sz="8" w:space="0" w:color="45A7E1" w:themeColor="accent1"/>
          <w:bottom w:val="single" w:sz="8" w:space="0" w:color="45A7E1" w:themeColor="accent1"/>
          <w:right w:val="single" w:sz="8" w:space="0" w:color="45A7E1" w:themeColor="accent1"/>
        </w:tcBorders>
      </w:tcPr>
    </w:tblStylePr>
    <w:tblStylePr w:type="band1Horz">
      <w:tblPr/>
      <w:tcPr>
        <w:tcBorders>
          <w:top w:val="single" w:sz="8" w:space="0" w:color="45A7E1" w:themeColor="accent1"/>
          <w:left w:val="single" w:sz="8" w:space="0" w:color="45A7E1" w:themeColor="accent1"/>
          <w:bottom w:val="single" w:sz="8" w:space="0" w:color="45A7E1" w:themeColor="accent1"/>
          <w:right w:val="single" w:sz="8" w:space="0" w:color="45A7E1" w:themeColor="accent1"/>
        </w:tcBorders>
      </w:tcPr>
    </w:tblStylePr>
  </w:style>
  <w:style w:type="table" w:customStyle="1" w:styleId="MediumList1-Accent11">
    <w:name w:val="Medium List 1 - Accent 11"/>
    <w:basedOn w:val="TableNormal"/>
    <w:uiPriority w:val="65"/>
    <w:rsid w:val="00D61E15"/>
    <w:rPr>
      <w:color w:val="000000" w:themeColor="text1"/>
      <w:sz w:val="22"/>
      <w:szCs w:val="22"/>
    </w:rPr>
    <w:tblPr>
      <w:tblStyleRowBandSize w:val="1"/>
      <w:tblStyleColBandSize w:val="1"/>
      <w:tblBorders>
        <w:top w:val="single" w:sz="8" w:space="0" w:color="45A7E1" w:themeColor="accent1"/>
        <w:bottom w:val="single" w:sz="8" w:space="0" w:color="45A7E1" w:themeColor="accent1"/>
      </w:tblBorders>
    </w:tblPr>
    <w:tblStylePr w:type="firstRow">
      <w:rPr>
        <w:rFonts w:asciiTheme="majorHAnsi" w:eastAsiaTheme="majorEastAsia" w:hAnsiTheme="majorHAnsi" w:cstheme="majorBidi"/>
      </w:rPr>
      <w:tblPr/>
      <w:tcPr>
        <w:tcBorders>
          <w:top w:val="nil"/>
          <w:bottom w:val="single" w:sz="8" w:space="0" w:color="45A7E1" w:themeColor="accent1"/>
        </w:tcBorders>
      </w:tcPr>
    </w:tblStylePr>
    <w:tblStylePr w:type="lastRow">
      <w:rPr>
        <w:b/>
        <w:bCs/>
        <w:color w:val="0A1F50" w:themeColor="text2"/>
      </w:rPr>
      <w:tblPr/>
      <w:tcPr>
        <w:tcBorders>
          <w:top w:val="single" w:sz="8" w:space="0" w:color="45A7E1" w:themeColor="accent1"/>
          <w:bottom w:val="single" w:sz="8" w:space="0" w:color="45A7E1" w:themeColor="accent1"/>
        </w:tcBorders>
      </w:tcPr>
    </w:tblStylePr>
    <w:tblStylePr w:type="firstCol">
      <w:rPr>
        <w:b/>
        <w:bCs/>
      </w:rPr>
    </w:tblStylePr>
    <w:tblStylePr w:type="lastCol">
      <w:rPr>
        <w:b/>
        <w:bCs/>
      </w:rPr>
      <w:tblPr/>
      <w:tcPr>
        <w:tcBorders>
          <w:top w:val="single" w:sz="8" w:space="0" w:color="45A7E1" w:themeColor="accent1"/>
          <w:bottom w:val="single" w:sz="8" w:space="0" w:color="45A7E1" w:themeColor="accent1"/>
        </w:tcBorders>
      </w:tcPr>
    </w:tblStylePr>
    <w:tblStylePr w:type="band1Vert">
      <w:tblPr/>
      <w:tcPr>
        <w:shd w:val="clear" w:color="auto" w:fill="D0E9F7" w:themeFill="accent1" w:themeFillTint="3F"/>
      </w:tcPr>
    </w:tblStylePr>
    <w:tblStylePr w:type="band1Horz">
      <w:tblPr/>
      <w:tcPr>
        <w:shd w:val="clear" w:color="auto" w:fill="D0E9F7" w:themeFill="accent1" w:themeFillTint="3F"/>
      </w:tcPr>
    </w:tblStylePr>
  </w:style>
  <w:style w:type="table" w:styleId="MediumShading1-Accent5">
    <w:name w:val="Medium Shading 1 Accent 5"/>
    <w:basedOn w:val="TableNormal"/>
    <w:uiPriority w:val="63"/>
    <w:rsid w:val="00D61E15"/>
    <w:rPr>
      <w:rFonts w:ascii="Arial" w:hAnsi="Arial"/>
      <w:sz w:val="22"/>
      <w:szCs w:val="22"/>
      <w:lang w:val="en-GB"/>
    </w:rPr>
    <w:tblPr>
      <w:tblStyleRowBandSize w:val="1"/>
      <w:tblStyleColBandSize w:val="1"/>
      <w:tblBorders>
        <w:top w:val="single" w:sz="8" w:space="0" w:color="ACA4EE" w:themeColor="accent5" w:themeTint="BF"/>
        <w:left w:val="single" w:sz="8" w:space="0" w:color="ACA4EE" w:themeColor="accent5" w:themeTint="BF"/>
        <w:bottom w:val="single" w:sz="8" w:space="0" w:color="ACA4EE" w:themeColor="accent5" w:themeTint="BF"/>
        <w:right w:val="single" w:sz="8" w:space="0" w:color="ACA4EE" w:themeColor="accent5" w:themeTint="BF"/>
        <w:insideH w:val="single" w:sz="8" w:space="0" w:color="ACA4EE" w:themeColor="accent5" w:themeTint="BF"/>
      </w:tblBorders>
    </w:tblPr>
    <w:tblStylePr w:type="firstRow">
      <w:pPr>
        <w:spacing w:before="0" w:after="0" w:line="240" w:lineRule="auto"/>
      </w:pPr>
      <w:rPr>
        <w:b/>
        <w:bCs/>
        <w:color w:val="FFFFFF" w:themeColor="background1"/>
      </w:rPr>
      <w:tblPr/>
      <w:tcPr>
        <w:tcBorders>
          <w:top w:val="single" w:sz="8" w:space="0" w:color="ACA4EE" w:themeColor="accent5" w:themeTint="BF"/>
          <w:left w:val="single" w:sz="8" w:space="0" w:color="ACA4EE" w:themeColor="accent5" w:themeTint="BF"/>
          <w:bottom w:val="single" w:sz="8" w:space="0" w:color="ACA4EE" w:themeColor="accent5" w:themeTint="BF"/>
          <w:right w:val="single" w:sz="8" w:space="0" w:color="ACA4EE" w:themeColor="accent5" w:themeTint="BF"/>
          <w:insideH w:val="nil"/>
          <w:insideV w:val="nil"/>
        </w:tcBorders>
        <w:shd w:val="clear" w:color="auto" w:fill="9187E9" w:themeFill="accent5"/>
      </w:tcPr>
    </w:tblStylePr>
    <w:tblStylePr w:type="lastRow">
      <w:pPr>
        <w:spacing w:before="0" w:after="0" w:line="240" w:lineRule="auto"/>
      </w:pPr>
      <w:rPr>
        <w:b/>
        <w:bCs/>
      </w:rPr>
      <w:tblPr/>
      <w:tcPr>
        <w:tcBorders>
          <w:top w:val="double" w:sz="6" w:space="0" w:color="ACA4EE" w:themeColor="accent5" w:themeTint="BF"/>
          <w:left w:val="single" w:sz="8" w:space="0" w:color="ACA4EE" w:themeColor="accent5" w:themeTint="BF"/>
          <w:bottom w:val="single" w:sz="8" w:space="0" w:color="ACA4EE" w:themeColor="accent5" w:themeTint="BF"/>
          <w:right w:val="single" w:sz="8" w:space="0" w:color="ACA4E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E1F9" w:themeFill="accent5" w:themeFillTint="3F"/>
      </w:tcPr>
    </w:tblStylePr>
    <w:tblStylePr w:type="band1Horz">
      <w:tblPr/>
      <w:tcPr>
        <w:tcBorders>
          <w:insideH w:val="nil"/>
          <w:insideV w:val="nil"/>
        </w:tcBorders>
        <w:shd w:val="clear" w:color="auto" w:fill="E3E1F9" w:themeFill="accent5"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EA1ADD"/>
    <w:rPr>
      <w:sz w:val="16"/>
      <w:szCs w:val="16"/>
    </w:rPr>
  </w:style>
  <w:style w:type="paragraph" w:styleId="CommentText">
    <w:name w:val="annotation text"/>
    <w:basedOn w:val="Normal"/>
    <w:link w:val="CommentTextChar"/>
    <w:uiPriority w:val="99"/>
    <w:unhideWhenUsed/>
    <w:rsid w:val="00EA1ADD"/>
    <w:pPr>
      <w:spacing w:line="240" w:lineRule="auto"/>
    </w:pPr>
    <w:rPr>
      <w:sz w:val="20"/>
      <w:szCs w:val="20"/>
    </w:rPr>
  </w:style>
  <w:style w:type="character" w:customStyle="1" w:styleId="CommentTextChar">
    <w:name w:val="Comment Text Char"/>
    <w:basedOn w:val="DefaultParagraphFont"/>
    <w:link w:val="CommentText"/>
    <w:uiPriority w:val="99"/>
    <w:rsid w:val="00EA1ADD"/>
    <w:rPr>
      <w:rFonts w:ascii="Arial" w:hAnsi="Arial"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EA1ADD"/>
    <w:rPr>
      <w:b/>
      <w:bCs/>
    </w:rPr>
  </w:style>
  <w:style w:type="character" w:customStyle="1" w:styleId="CommentSubjectChar">
    <w:name w:val="Comment Subject Char"/>
    <w:basedOn w:val="CommentTextChar"/>
    <w:link w:val="CommentSubject"/>
    <w:uiPriority w:val="99"/>
    <w:semiHidden/>
    <w:rsid w:val="00EA1ADD"/>
    <w:rPr>
      <w:rFonts w:ascii="Arial" w:hAnsi="Arial" w:cs="Arial"/>
      <w:b/>
      <w:bCs/>
      <w:sz w:val="20"/>
      <w:szCs w:val="20"/>
      <w:lang w:val="en-GB" w:eastAsia="en-GB"/>
    </w:rPr>
  </w:style>
  <w:style w:type="paragraph" w:styleId="Revision">
    <w:name w:val="Revision"/>
    <w:hidden/>
    <w:uiPriority w:val="99"/>
    <w:semiHidden/>
    <w:rsid w:val="00D61E15"/>
    <w:rPr>
      <w:sz w:val="22"/>
      <w:szCs w:val="22"/>
      <w:lang w:val="en-GB"/>
    </w:rPr>
  </w:style>
  <w:style w:type="character" w:customStyle="1" w:styleId="NoSpacingChar">
    <w:name w:val="No Spacing Char"/>
    <w:basedOn w:val="DefaultParagraphFont"/>
    <w:link w:val="NoSpacing"/>
    <w:uiPriority w:val="1"/>
    <w:locked/>
    <w:rsid w:val="00D61E15"/>
    <w:rPr>
      <w:rFonts w:ascii="Arial" w:eastAsia="Times New Roman" w:hAnsi="Arial" w:cs="Times New Roman"/>
      <w:sz w:val="22"/>
      <w:szCs w:val="20"/>
      <w:lang w:val="en-GB"/>
    </w:rPr>
  </w:style>
  <w:style w:type="paragraph" w:customStyle="1" w:styleId="ParaAttribute1">
    <w:name w:val="ParaAttribute1"/>
    <w:rsid w:val="00D61E15"/>
    <w:pPr>
      <w:wordWrap w:val="0"/>
      <w:spacing w:after="200"/>
    </w:pPr>
    <w:rPr>
      <w:rFonts w:ascii="Times New Roman" w:eastAsia="Batang" w:hAnsi="Times New Roman" w:cs="Times New Roman"/>
      <w:sz w:val="20"/>
      <w:szCs w:val="20"/>
    </w:rPr>
  </w:style>
  <w:style w:type="paragraph" w:customStyle="1" w:styleId="ParaAttribute4">
    <w:name w:val="ParaAttribute4"/>
    <w:rsid w:val="00D61E15"/>
    <w:pPr>
      <w:wordWrap w:val="0"/>
      <w:spacing w:after="200"/>
      <w:jc w:val="center"/>
    </w:pPr>
    <w:rPr>
      <w:rFonts w:ascii="Times New Roman" w:eastAsia="Batang" w:hAnsi="Times New Roman" w:cs="Times New Roman"/>
      <w:sz w:val="20"/>
      <w:szCs w:val="20"/>
    </w:rPr>
  </w:style>
  <w:style w:type="character" w:customStyle="1" w:styleId="CharAttribute0">
    <w:name w:val="CharAttribute0"/>
    <w:rsid w:val="00D61E15"/>
    <w:rPr>
      <w:rFonts w:ascii="Calibri" w:eastAsia="Calibri" w:hAnsi="Calibri" w:hint="default"/>
      <w:b/>
      <w:bCs w:val="0"/>
      <w:i/>
      <w:iCs w:val="0"/>
      <w:color w:val="1F497D"/>
      <w:sz w:val="22"/>
    </w:rPr>
  </w:style>
  <w:style w:type="character" w:customStyle="1" w:styleId="CharAttribute1">
    <w:name w:val="CharAttribute1"/>
    <w:rsid w:val="00D61E15"/>
    <w:rPr>
      <w:rFonts w:ascii="Times New Roman" w:eastAsia="Times New Roman" w:hAnsi="Times New Roman" w:cs="Times New Roman" w:hint="default"/>
      <w:sz w:val="24"/>
    </w:rPr>
  </w:style>
  <w:style w:type="character" w:customStyle="1" w:styleId="CharAttribute10">
    <w:name w:val="CharAttribute10"/>
    <w:rsid w:val="00D61E15"/>
    <w:rPr>
      <w:rFonts w:ascii="Noto Sans Myanmar" w:eastAsia="Noto Sans Myanmar" w:hAnsi="Noto Sans Myanmar" w:hint="default"/>
      <w:sz w:val="24"/>
    </w:rPr>
  </w:style>
  <w:style w:type="character" w:customStyle="1" w:styleId="CharAttribute4">
    <w:name w:val="CharAttribute4"/>
    <w:rsid w:val="00D61E15"/>
    <w:rPr>
      <w:rFonts w:ascii="Times New Roman" w:eastAsia="Times New Roman" w:hAnsi="Times New Roman" w:cs="Times New Roman" w:hint="default"/>
      <w:b/>
      <w:bCs w:val="0"/>
      <w:i/>
      <w:iCs w:val="0"/>
      <w:color w:val="1F497D"/>
      <w:sz w:val="24"/>
    </w:rPr>
  </w:style>
  <w:style w:type="character" w:customStyle="1" w:styleId="CharAttribute8">
    <w:name w:val="CharAttribute8"/>
    <w:rsid w:val="00D61E15"/>
    <w:rPr>
      <w:rFonts w:ascii="Calibri" w:eastAsia="Calibri" w:hAnsi="Calibri" w:hint="default"/>
      <w:b/>
      <w:bCs w:val="0"/>
      <w:color w:val="1F497D"/>
      <w:sz w:val="22"/>
    </w:rPr>
  </w:style>
  <w:style w:type="table" w:customStyle="1" w:styleId="LightList1">
    <w:name w:val="Light List1"/>
    <w:basedOn w:val="TableNormal"/>
    <w:uiPriority w:val="61"/>
    <w:unhideWhenUsed/>
    <w:rsid w:val="00D61E15"/>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unhideWhenUsed/>
    <w:rsid w:val="00D61E15"/>
    <w:rPr>
      <w:rFonts w:eastAsiaTheme="minorEastAsia"/>
      <w:color w:val="4938DA" w:themeColor="accent5" w:themeShade="BF"/>
    </w:rPr>
    <w:tblPr>
      <w:tblStyleRowBandSize w:val="1"/>
      <w:tblStyleColBandSize w:val="1"/>
      <w:tblBorders>
        <w:top w:val="single" w:sz="8" w:space="0" w:color="9187E9" w:themeColor="accent5"/>
        <w:bottom w:val="single" w:sz="8" w:space="0" w:color="9187E9" w:themeColor="accent5"/>
      </w:tblBorders>
    </w:tblPr>
    <w:tblStylePr w:type="firstRow">
      <w:pPr>
        <w:spacing w:beforeLines="0" w:beforeAutospacing="0" w:afterLines="0" w:afterAutospacing="0" w:line="240" w:lineRule="auto"/>
      </w:pPr>
      <w:rPr>
        <w:b/>
        <w:bCs/>
      </w:rPr>
      <w:tblPr/>
      <w:tcPr>
        <w:tcBorders>
          <w:top w:val="single" w:sz="8" w:space="0" w:color="9187E9" w:themeColor="accent5"/>
          <w:left w:val="nil"/>
          <w:bottom w:val="single" w:sz="8" w:space="0" w:color="9187E9"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187E9" w:themeColor="accent5"/>
          <w:left w:val="nil"/>
          <w:bottom w:val="single" w:sz="8" w:space="0" w:color="9187E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1F9" w:themeFill="accent5" w:themeFillTint="3F"/>
      </w:tcPr>
    </w:tblStylePr>
    <w:tblStylePr w:type="band1Horz">
      <w:tblPr/>
      <w:tcPr>
        <w:tcBorders>
          <w:left w:val="nil"/>
          <w:right w:val="nil"/>
          <w:insideH w:val="nil"/>
          <w:insideV w:val="nil"/>
        </w:tcBorders>
        <w:shd w:val="clear" w:color="auto" w:fill="E3E1F9" w:themeFill="accent5" w:themeFillTint="3F"/>
      </w:tcPr>
    </w:tblStylePr>
  </w:style>
  <w:style w:type="paragraph" w:customStyle="1" w:styleId="NormalInd">
    <w:name w:val="Normal Ind"/>
    <w:basedOn w:val="Normal"/>
    <w:uiPriority w:val="99"/>
    <w:qFormat/>
    <w:rsid w:val="00D61E15"/>
    <w:pPr>
      <w:spacing w:before="240" w:after="240" w:line="300" w:lineRule="exact"/>
      <w:ind w:left="360"/>
    </w:pPr>
    <w:rPr>
      <w:rFonts w:ascii="Times New Roman" w:hAnsi="Times New Roman" w:cs="Times New Roman"/>
      <w:sz w:val="24"/>
      <w:szCs w:val="24"/>
      <w:lang w:eastAsia="en-US"/>
    </w:rPr>
  </w:style>
  <w:style w:type="paragraph" w:customStyle="1" w:styleId="TableRow0">
    <w:name w:val="Table Row"/>
    <w:basedOn w:val="Normal"/>
    <w:qFormat/>
    <w:rsid w:val="00D61E15"/>
    <w:pPr>
      <w:spacing w:after="0" w:line="300" w:lineRule="exact"/>
      <w:jc w:val="right"/>
    </w:pPr>
    <w:rPr>
      <w:rFonts w:ascii="Times New Roman" w:hAnsi="Times New Roman" w:cs="Times New Roman"/>
      <w:sz w:val="20"/>
      <w:szCs w:val="24"/>
      <w:lang w:val="en-US" w:eastAsia="en-US"/>
    </w:rPr>
  </w:style>
  <w:style w:type="paragraph" w:customStyle="1" w:styleId="STD">
    <w:name w:val="STD"/>
    <w:basedOn w:val="ListParagraph"/>
    <w:uiPriority w:val="99"/>
    <w:qFormat/>
    <w:rsid w:val="00D61E15"/>
    <w:pPr>
      <w:spacing w:before="240" w:after="240" w:line="300" w:lineRule="exact"/>
      <w:ind w:left="360" w:hanging="360"/>
      <w:contextualSpacing w:val="0"/>
    </w:pPr>
    <w:rPr>
      <w:rFonts w:ascii="Times New Roman" w:hAnsi="Times New Roman" w:cs="Times New Roman"/>
      <w:sz w:val="24"/>
      <w:szCs w:val="24"/>
      <w:lang w:eastAsia="en-US"/>
    </w:rPr>
  </w:style>
  <w:style w:type="paragraph" w:customStyle="1" w:styleId="TableHeader">
    <w:name w:val="Table Header"/>
    <w:basedOn w:val="Normal"/>
    <w:qFormat/>
    <w:rsid w:val="00D61E15"/>
    <w:pPr>
      <w:spacing w:before="120" w:after="120" w:line="320" w:lineRule="exact"/>
      <w:jc w:val="center"/>
    </w:pPr>
    <w:rPr>
      <w:rFonts w:ascii="Times New Roman" w:hAnsi="Times New Roman" w:cs="Times New Roman"/>
      <w:b/>
      <w:lang w:eastAsia="en-US"/>
    </w:rPr>
  </w:style>
  <w:style w:type="paragraph" w:customStyle="1" w:styleId="TableContent">
    <w:name w:val="Table Content"/>
    <w:basedOn w:val="Normal"/>
    <w:qFormat/>
    <w:rsid w:val="00D61E15"/>
    <w:pPr>
      <w:spacing w:before="120" w:after="120" w:line="240" w:lineRule="auto"/>
      <w:jc w:val="right"/>
    </w:pPr>
    <w:rPr>
      <w:rFonts w:ascii="Times New Roman" w:hAnsi="Times New Roman" w:cs="Times New Roman"/>
      <w:lang w:eastAsia="en-US"/>
    </w:rPr>
  </w:style>
  <w:style w:type="paragraph" w:customStyle="1" w:styleId="TableLeftColumn">
    <w:name w:val="Table Left Column"/>
    <w:basedOn w:val="Normal"/>
    <w:qFormat/>
    <w:rsid w:val="00D61E15"/>
    <w:pPr>
      <w:spacing w:after="0" w:line="240" w:lineRule="auto"/>
    </w:pPr>
    <w:rPr>
      <w:rFonts w:ascii="Times New Roman" w:hAnsi="Times New Roman" w:cs="Times New Roman"/>
      <w:lang w:eastAsia="en-US"/>
    </w:rPr>
  </w:style>
  <w:style w:type="paragraph" w:customStyle="1" w:styleId="TableTitle">
    <w:name w:val="Table Title"/>
    <w:basedOn w:val="Normal"/>
    <w:qFormat/>
    <w:rsid w:val="00D61E15"/>
    <w:pPr>
      <w:spacing w:before="480" w:after="120" w:line="320" w:lineRule="exact"/>
      <w:jc w:val="center"/>
    </w:pPr>
    <w:rPr>
      <w:rFonts w:ascii="Times New Roman" w:hAnsi="Times New Roman" w:cs="Times New Roman"/>
      <w:smallCaps/>
      <w:sz w:val="24"/>
      <w:szCs w:val="24"/>
      <w:u w:val="single"/>
      <w:lang w:eastAsia="en-US"/>
    </w:rPr>
  </w:style>
  <w:style w:type="paragraph" w:customStyle="1" w:styleId="Bullets">
    <w:name w:val="Bullets"/>
    <w:basedOn w:val="Normal"/>
    <w:qFormat/>
    <w:rsid w:val="00D61E15"/>
    <w:pPr>
      <w:numPr>
        <w:numId w:val="16"/>
      </w:numPr>
      <w:spacing w:before="120" w:after="120" w:line="300" w:lineRule="exact"/>
    </w:pPr>
    <w:rPr>
      <w:rFonts w:ascii="Times New Roman" w:eastAsiaTheme="minorEastAsia" w:hAnsi="Times New Roman" w:cstheme="minorHAnsi"/>
      <w:sz w:val="24"/>
      <w:szCs w:val="24"/>
      <w:lang w:val="en-US" w:eastAsia="en-US"/>
    </w:rPr>
  </w:style>
  <w:style w:type="paragraph" w:customStyle="1" w:styleId="CPHead1">
    <w:name w:val="CP Head 1"/>
    <w:basedOn w:val="Heading1"/>
    <w:qFormat/>
    <w:rsid w:val="00D61E15"/>
    <w:pPr>
      <w:keepLines/>
      <w:numPr>
        <w:numId w:val="0"/>
      </w:numPr>
      <w:pBdr>
        <w:top w:val="none" w:sz="0" w:space="0" w:color="auto"/>
      </w:pBdr>
      <w:tabs>
        <w:tab w:val="num" w:pos="360"/>
      </w:tabs>
      <w:spacing w:before="240" w:after="120"/>
    </w:pPr>
    <w:rPr>
      <w:rFonts w:asciiTheme="majorHAnsi" w:eastAsiaTheme="majorEastAsia" w:hAnsiTheme="majorHAnsi" w:cstheme="majorBidi"/>
      <w:bCs w:val="0"/>
      <w:smallCaps/>
      <w:color w:val="1E82BD" w:themeColor="accent1" w:themeShade="BF"/>
      <w:sz w:val="52"/>
      <w:szCs w:val="32"/>
      <w:lang w:eastAsia="en-US"/>
    </w:rPr>
  </w:style>
  <w:style w:type="paragraph" w:customStyle="1" w:styleId="CPHead2">
    <w:name w:val="CP Head 2"/>
    <w:basedOn w:val="Heading20"/>
    <w:uiPriority w:val="99"/>
    <w:qFormat/>
    <w:rsid w:val="00D61E15"/>
    <w:pPr>
      <w:keepLines/>
      <w:numPr>
        <w:ilvl w:val="0"/>
        <w:numId w:val="0"/>
      </w:numPr>
      <w:tabs>
        <w:tab w:val="num" w:pos="720"/>
      </w:tabs>
      <w:spacing w:before="40" w:after="0" w:line="320" w:lineRule="exact"/>
    </w:pPr>
    <w:rPr>
      <w:rFonts w:asciiTheme="majorHAnsi" w:eastAsiaTheme="majorEastAsia" w:hAnsiTheme="majorHAnsi" w:cstheme="majorBidi"/>
      <w:color w:val="1E82BD" w:themeColor="accent1" w:themeShade="BF"/>
      <w:kern w:val="0"/>
      <w:sz w:val="26"/>
      <w:szCs w:val="26"/>
      <w:lang w:eastAsia="en-US"/>
    </w:rPr>
  </w:style>
  <w:style w:type="paragraph" w:customStyle="1" w:styleId="NumberList">
    <w:name w:val="Number List"/>
    <w:basedOn w:val="Normal"/>
    <w:uiPriority w:val="99"/>
    <w:qFormat/>
    <w:rsid w:val="00D61E15"/>
    <w:pPr>
      <w:spacing w:before="120" w:after="120" w:line="300" w:lineRule="exact"/>
      <w:ind w:left="2700" w:hanging="360"/>
    </w:pPr>
    <w:rPr>
      <w:rFonts w:ascii="Times New Roman" w:eastAsiaTheme="minorEastAsia" w:hAnsi="Times New Roman" w:cstheme="minorHAnsi"/>
      <w:sz w:val="24"/>
      <w:szCs w:val="24"/>
      <w:lang w:val="en-US" w:eastAsia="en-US"/>
    </w:rPr>
  </w:style>
  <w:style w:type="character" w:customStyle="1" w:styleId="UnresolvedMention1">
    <w:name w:val="Unresolved Mention1"/>
    <w:basedOn w:val="DefaultParagraphFont"/>
    <w:uiPriority w:val="99"/>
    <w:semiHidden/>
    <w:unhideWhenUsed/>
    <w:rsid w:val="00D61E15"/>
    <w:rPr>
      <w:color w:val="808080"/>
      <w:shd w:val="clear" w:color="auto" w:fill="E6E6E6"/>
    </w:rPr>
  </w:style>
  <w:style w:type="paragraph" w:customStyle="1" w:styleId="yiv6585064413msonormal">
    <w:name w:val="yiv6585064413msonormal"/>
    <w:basedOn w:val="Normal"/>
    <w:rsid w:val="00D61E15"/>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D61E15"/>
  </w:style>
  <w:style w:type="paragraph" w:customStyle="1" w:styleId="yiv6585064413msolistparagraph">
    <w:name w:val="yiv6585064413msolistparagraph"/>
    <w:basedOn w:val="Normal"/>
    <w:rsid w:val="00D61E15"/>
    <w:pPr>
      <w:spacing w:before="100" w:beforeAutospacing="1" w:after="100" w:afterAutospacing="1" w:line="240" w:lineRule="auto"/>
    </w:pPr>
    <w:rPr>
      <w:rFonts w:ascii="Times New Roman" w:hAnsi="Times New Roman" w:cs="Times New Roman"/>
      <w:sz w:val="24"/>
      <w:szCs w:val="24"/>
    </w:rPr>
  </w:style>
  <w:style w:type="numbering" w:customStyle="1" w:styleId="ImportedStyle5">
    <w:name w:val="Imported Style 5"/>
    <w:rsid w:val="00D61E15"/>
    <w:pPr>
      <w:numPr>
        <w:numId w:val="18"/>
      </w:numPr>
    </w:pPr>
  </w:style>
  <w:style w:type="numbering" w:customStyle="1" w:styleId="ImportedStyle1">
    <w:name w:val="Imported Style 1"/>
    <w:rsid w:val="00D61E15"/>
    <w:pPr>
      <w:numPr>
        <w:numId w:val="19"/>
      </w:numPr>
    </w:pPr>
  </w:style>
  <w:style w:type="paragraph" w:customStyle="1" w:styleId="Default">
    <w:name w:val="Default"/>
    <w:rsid w:val="00D61E15"/>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UnresolvedMention2">
    <w:name w:val="Unresolved Mention2"/>
    <w:basedOn w:val="DefaultParagraphFont"/>
    <w:uiPriority w:val="99"/>
    <w:semiHidden/>
    <w:unhideWhenUsed/>
    <w:rsid w:val="00D61E15"/>
    <w:rPr>
      <w:color w:val="808080"/>
      <w:shd w:val="clear" w:color="auto" w:fill="E6E6E6"/>
    </w:rPr>
  </w:style>
  <w:style w:type="table" w:customStyle="1" w:styleId="TableGridLight1">
    <w:name w:val="Table Grid Light1"/>
    <w:basedOn w:val="TableNormal"/>
    <w:uiPriority w:val="40"/>
    <w:rsid w:val="00D61E15"/>
    <w:rPr>
      <w:sz w:val="22"/>
      <w:szCs w:val="22"/>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51">
    <w:name w:val="Grid Table 4 - Accent 51"/>
    <w:basedOn w:val="TableNormal"/>
    <w:uiPriority w:val="49"/>
    <w:rsid w:val="00D61E15"/>
    <w:rPr>
      <w:sz w:val="22"/>
      <w:szCs w:val="22"/>
      <w:lang w:val="en-GB"/>
    </w:rPr>
    <w:tblPr>
      <w:tblStyleRowBandSize w:val="1"/>
      <w:tblStyleColBandSize w:val="1"/>
      <w:tblBorders>
        <w:top w:val="single" w:sz="4" w:space="0" w:color="BCB6F1" w:themeColor="accent5" w:themeTint="99"/>
        <w:left w:val="single" w:sz="4" w:space="0" w:color="BCB6F1" w:themeColor="accent5" w:themeTint="99"/>
        <w:bottom w:val="single" w:sz="4" w:space="0" w:color="BCB6F1" w:themeColor="accent5" w:themeTint="99"/>
        <w:right w:val="single" w:sz="4" w:space="0" w:color="BCB6F1" w:themeColor="accent5" w:themeTint="99"/>
        <w:insideH w:val="single" w:sz="4" w:space="0" w:color="BCB6F1" w:themeColor="accent5" w:themeTint="99"/>
        <w:insideV w:val="single" w:sz="4" w:space="0" w:color="BCB6F1" w:themeColor="accent5" w:themeTint="99"/>
      </w:tblBorders>
    </w:tblPr>
    <w:tblStylePr w:type="firstRow">
      <w:rPr>
        <w:b/>
        <w:bCs/>
        <w:color w:val="FFFFFF" w:themeColor="background1"/>
      </w:rPr>
      <w:tblPr/>
      <w:tcPr>
        <w:tcBorders>
          <w:top w:val="single" w:sz="4" w:space="0" w:color="9187E9" w:themeColor="accent5"/>
          <w:left w:val="single" w:sz="4" w:space="0" w:color="9187E9" w:themeColor="accent5"/>
          <w:bottom w:val="single" w:sz="4" w:space="0" w:color="9187E9" w:themeColor="accent5"/>
          <w:right w:val="single" w:sz="4" w:space="0" w:color="9187E9" w:themeColor="accent5"/>
          <w:insideH w:val="nil"/>
          <w:insideV w:val="nil"/>
        </w:tcBorders>
        <w:shd w:val="clear" w:color="auto" w:fill="9187E9" w:themeFill="accent5"/>
      </w:tcPr>
    </w:tblStylePr>
    <w:tblStylePr w:type="lastRow">
      <w:rPr>
        <w:b/>
        <w:bCs/>
      </w:rPr>
      <w:tblPr/>
      <w:tcPr>
        <w:tcBorders>
          <w:top w:val="double" w:sz="4" w:space="0" w:color="9187E9" w:themeColor="accent5"/>
        </w:tcBorders>
      </w:tcPr>
    </w:tblStylePr>
    <w:tblStylePr w:type="firstCol">
      <w:rPr>
        <w:b/>
        <w:bCs/>
      </w:rPr>
    </w:tblStylePr>
    <w:tblStylePr w:type="lastCol">
      <w:rPr>
        <w:b/>
        <w:bCs/>
      </w:rPr>
    </w:tblStylePr>
    <w:tblStylePr w:type="band1Vert">
      <w:tblPr/>
      <w:tcPr>
        <w:shd w:val="clear" w:color="auto" w:fill="E8E6FA" w:themeFill="accent5" w:themeFillTint="33"/>
      </w:tcPr>
    </w:tblStylePr>
    <w:tblStylePr w:type="band1Horz">
      <w:tblPr/>
      <w:tcPr>
        <w:shd w:val="clear" w:color="auto" w:fill="E8E6FA" w:themeFill="accent5" w:themeFillTint="33"/>
      </w:tcPr>
    </w:tblStylePr>
  </w:style>
  <w:style w:type="table" w:customStyle="1" w:styleId="MediumShading11">
    <w:name w:val="Medium Shading 11"/>
    <w:basedOn w:val="TableNormal"/>
    <w:uiPriority w:val="63"/>
    <w:rsid w:val="00D61E15"/>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61E15"/>
    <w:rPr>
      <w:rFonts w:ascii="Times New Roman" w:eastAsia="Times New Roman" w:hAnsi="Times New Roman" w:cs="Times New Roman"/>
      <w:lang w:val="de-DE"/>
    </w:rPr>
    <w:tblPr>
      <w:tblStyleRowBandSize w:val="1"/>
      <w:tblStyleColBandSize w:val="1"/>
      <w:tblBorders>
        <w:top w:val="single" w:sz="8" w:space="0" w:color="78E2B5" w:themeColor="accent3" w:themeTint="BF"/>
        <w:left w:val="single" w:sz="8" w:space="0" w:color="78E2B5" w:themeColor="accent3" w:themeTint="BF"/>
        <w:bottom w:val="single" w:sz="8" w:space="0" w:color="78E2B5" w:themeColor="accent3" w:themeTint="BF"/>
        <w:right w:val="single" w:sz="8" w:space="0" w:color="78E2B5" w:themeColor="accent3" w:themeTint="BF"/>
        <w:insideH w:val="single" w:sz="8" w:space="0" w:color="78E2B5" w:themeColor="accent3" w:themeTint="BF"/>
      </w:tblBorders>
    </w:tblPr>
    <w:tblStylePr w:type="firstRow">
      <w:pPr>
        <w:spacing w:before="0" w:after="0" w:line="240" w:lineRule="auto"/>
      </w:pPr>
      <w:rPr>
        <w:b/>
        <w:bCs/>
        <w:color w:val="FFFFFF" w:themeColor="background1"/>
      </w:rPr>
      <w:tblPr/>
      <w:tcPr>
        <w:tcBorders>
          <w:top w:val="single" w:sz="8" w:space="0" w:color="78E2B5" w:themeColor="accent3" w:themeTint="BF"/>
          <w:left w:val="single" w:sz="8" w:space="0" w:color="78E2B5" w:themeColor="accent3" w:themeTint="BF"/>
          <w:bottom w:val="single" w:sz="8" w:space="0" w:color="78E2B5" w:themeColor="accent3" w:themeTint="BF"/>
          <w:right w:val="single" w:sz="8" w:space="0" w:color="78E2B5" w:themeColor="accent3" w:themeTint="BF"/>
          <w:insideH w:val="nil"/>
          <w:insideV w:val="nil"/>
        </w:tcBorders>
        <w:shd w:val="clear" w:color="auto" w:fill="4CD99D" w:themeFill="accent3"/>
      </w:tcPr>
    </w:tblStylePr>
    <w:tblStylePr w:type="lastRow">
      <w:pPr>
        <w:spacing w:before="0" w:after="0" w:line="240" w:lineRule="auto"/>
      </w:pPr>
      <w:rPr>
        <w:b/>
        <w:bCs/>
      </w:rPr>
      <w:tblPr/>
      <w:tcPr>
        <w:tcBorders>
          <w:top w:val="double" w:sz="6" w:space="0" w:color="78E2B5" w:themeColor="accent3" w:themeTint="BF"/>
          <w:left w:val="single" w:sz="8" w:space="0" w:color="78E2B5" w:themeColor="accent3" w:themeTint="BF"/>
          <w:bottom w:val="single" w:sz="8" w:space="0" w:color="78E2B5" w:themeColor="accent3" w:themeTint="BF"/>
          <w:right w:val="single" w:sz="8" w:space="0" w:color="78E2B5" w:themeColor="accent3" w:themeTint="BF"/>
          <w:insideH w:val="nil"/>
          <w:insideV w:val="nil"/>
        </w:tcBorders>
      </w:tcPr>
    </w:tblStylePr>
    <w:tblStylePr w:type="firstCol">
      <w:rPr>
        <w:b/>
        <w:bCs/>
      </w:rPr>
    </w:tblStylePr>
    <w:tblStylePr w:type="lastCol">
      <w:rPr>
        <w:b/>
        <w:bCs/>
      </w:rPr>
    </w:tblStylePr>
    <w:tblStylePr w:type="band1Vert">
      <w:tblPr/>
      <w:tcPr>
        <w:shd w:val="clear" w:color="auto" w:fill="D2F5E6" w:themeFill="accent3" w:themeFillTint="3F"/>
      </w:tcPr>
    </w:tblStylePr>
    <w:tblStylePr w:type="band1Horz">
      <w:tblPr/>
      <w:tcPr>
        <w:tcBorders>
          <w:insideH w:val="nil"/>
          <w:insideV w:val="nil"/>
        </w:tcBorders>
        <w:shd w:val="clear" w:color="auto" w:fill="D2F5E6" w:themeFill="accent3" w:themeFillTint="3F"/>
      </w:tcPr>
    </w:tblStylePr>
    <w:tblStylePr w:type="band2Horz">
      <w:tblPr/>
      <w:tcPr>
        <w:tcBorders>
          <w:insideH w:val="nil"/>
          <w:insideV w:val="nil"/>
        </w:tcBorders>
      </w:tcPr>
    </w:tblStylePr>
  </w:style>
  <w:style w:type="paragraph" w:customStyle="1" w:styleId="PartLabel">
    <w:name w:val="Part Label"/>
    <w:basedOn w:val="Normal"/>
    <w:next w:val="Normal"/>
    <w:rsid w:val="00D61E15"/>
    <w:pPr>
      <w:framePr w:w="2045" w:hSpace="187" w:vSpace="187" w:wrap="notBeside" w:vAnchor="page" w:hAnchor="margin" w:xAlign="right" w:y="966"/>
      <w:shd w:val="pct20" w:color="auto" w:fill="auto"/>
      <w:spacing w:before="320" w:after="0" w:line="1560" w:lineRule="exact"/>
      <w:jc w:val="center"/>
    </w:pPr>
    <w:rPr>
      <w:rFonts w:ascii="Arial Black" w:eastAsia="Times New Roman" w:hAnsi="Arial Black" w:cs="Times New Roman"/>
      <w:color w:val="FFFFFF"/>
      <w:sz w:val="196"/>
      <w:szCs w:val="20"/>
      <w:lang w:val="en-US" w:eastAsia="en-US"/>
    </w:rPr>
  </w:style>
  <w:style w:type="paragraph" w:customStyle="1" w:styleId="PartTitle">
    <w:name w:val="Part Title"/>
    <w:basedOn w:val="Normal"/>
    <w:next w:val="PartLabel"/>
    <w:rsid w:val="00D61E15"/>
    <w:pPr>
      <w:keepNext/>
      <w:pageBreakBefore/>
      <w:framePr w:w="2045" w:hSpace="187" w:vSpace="187" w:wrap="notBeside" w:vAnchor="page" w:hAnchor="margin" w:xAlign="right" w:y="966"/>
      <w:shd w:val="pct20" w:color="auto" w:fill="auto"/>
      <w:spacing w:after="0" w:line="480" w:lineRule="exact"/>
      <w:jc w:val="center"/>
    </w:pPr>
    <w:rPr>
      <w:rFonts w:ascii="Arial Black" w:eastAsia="Times New Roman" w:hAnsi="Arial Black" w:cs="Times New Roman"/>
      <w:spacing w:val="-50"/>
      <w:sz w:val="36"/>
      <w:szCs w:val="20"/>
      <w:lang w:val="en-US" w:eastAsia="en-US"/>
    </w:rPr>
  </w:style>
  <w:style w:type="table" w:customStyle="1" w:styleId="ListTable6Colorful-Accent51">
    <w:name w:val="List Table 6 Colorful - Accent 51"/>
    <w:basedOn w:val="TableNormal"/>
    <w:uiPriority w:val="51"/>
    <w:rsid w:val="00D61E15"/>
    <w:rPr>
      <w:color w:val="4938DA" w:themeColor="accent5" w:themeShade="BF"/>
      <w:sz w:val="22"/>
      <w:szCs w:val="22"/>
      <w:lang w:val="en-GB"/>
    </w:rPr>
    <w:tblPr>
      <w:tblStyleRowBandSize w:val="1"/>
      <w:tblStyleColBandSize w:val="1"/>
      <w:tblBorders>
        <w:top w:val="single" w:sz="4" w:space="0" w:color="9187E9" w:themeColor="accent5"/>
        <w:bottom w:val="single" w:sz="4" w:space="0" w:color="9187E9" w:themeColor="accent5"/>
      </w:tblBorders>
    </w:tblPr>
    <w:tblStylePr w:type="firstRow">
      <w:rPr>
        <w:b/>
        <w:bCs/>
      </w:rPr>
      <w:tblPr/>
      <w:tcPr>
        <w:tcBorders>
          <w:bottom w:val="single" w:sz="4" w:space="0" w:color="9187E9" w:themeColor="accent5"/>
        </w:tcBorders>
      </w:tcPr>
    </w:tblStylePr>
    <w:tblStylePr w:type="lastRow">
      <w:rPr>
        <w:b/>
        <w:bCs/>
      </w:rPr>
      <w:tblPr/>
      <w:tcPr>
        <w:tcBorders>
          <w:top w:val="double" w:sz="4" w:space="0" w:color="9187E9" w:themeColor="accent5"/>
        </w:tcBorders>
      </w:tcPr>
    </w:tblStylePr>
    <w:tblStylePr w:type="firstCol">
      <w:rPr>
        <w:b/>
        <w:bCs/>
      </w:rPr>
    </w:tblStylePr>
    <w:tblStylePr w:type="lastCol">
      <w:rPr>
        <w:b/>
        <w:bCs/>
      </w:rPr>
    </w:tblStylePr>
    <w:tblStylePr w:type="band1Vert">
      <w:tblPr/>
      <w:tcPr>
        <w:shd w:val="clear" w:color="auto" w:fill="E8E6FA" w:themeFill="accent5" w:themeFillTint="33"/>
      </w:tcPr>
    </w:tblStylePr>
    <w:tblStylePr w:type="band1Horz">
      <w:tblPr/>
      <w:tcPr>
        <w:shd w:val="clear" w:color="auto" w:fill="E8E6FA" w:themeFill="accent5" w:themeFillTint="33"/>
      </w:tcPr>
    </w:tblStylePr>
  </w:style>
  <w:style w:type="character" w:styleId="Emphasis">
    <w:name w:val="Emphasis"/>
    <w:basedOn w:val="DefaultParagraphFont"/>
    <w:uiPriority w:val="20"/>
    <w:qFormat/>
    <w:locked/>
    <w:rsid w:val="00D61E15"/>
    <w:rPr>
      <w:i/>
      <w:iCs/>
    </w:rPr>
  </w:style>
  <w:style w:type="table" w:customStyle="1" w:styleId="GridTable4-Accent11">
    <w:name w:val="Grid Table 4 - Accent 11"/>
    <w:basedOn w:val="TableNormal"/>
    <w:uiPriority w:val="49"/>
    <w:rsid w:val="00D61E15"/>
    <w:rPr>
      <w:sz w:val="22"/>
      <w:szCs w:val="22"/>
      <w:lang w:val="en-GB"/>
    </w:rPr>
    <w:tblPr>
      <w:tblStyleRowBandSize w:val="1"/>
      <w:tblStyleColBandSize w:val="1"/>
      <w:tblBorders>
        <w:top w:val="single" w:sz="4" w:space="0" w:color="8FCAED" w:themeColor="accent1" w:themeTint="99"/>
        <w:left w:val="single" w:sz="4" w:space="0" w:color="8FCAED" w:themeColor="accent1" w:themeTint="99"/>
        <w:bottom w:val="single" w:sz="4" w:space="0" w:color="8FCAED" w:themeColor="accent1" w:themeTint="99"/>
        <w:right w:val="single" w:sz="4" w:space="0" w:color="8FCAED" w:themeColor="accent1" w:themeTint="99"/>
        <w:insideH w:val="single" w:sz="4" w:space="0" w:color="8FCAED" w:themeColor="accent1" w:themeTint="99"/>
        <w:insideV w:val="single" w:sz="4" w:space="0" w:color="8FCAED" w:themeColor="accent1" w:themeTint="99"/>
      </w:tblBorders>
    </w:tblPr>
    <w:tblStylePr w:type="firstRow">
      <w:rPr>
        <w:b/>
        <w:bCs/>
        <w:color w:val="FFFFFF" w:themeColor="background1"/>
      </w:rPr>
      <w:tblPr/>
      <w:tcPr>
        <w:tcBorders>
          <w:top w:val="single" w:sz="4" w:space="0" w:color="45A7E1" w:themeColor="accent1"/>
          <w:left w:val="single" w:sz="4" w:space="0" w:color="45A7E1" w:themeColor="accent1"/>
          <w:bottom w:val="single" w:sz="4" w:space="0" w:color="45A7E1" w:themeColor="accent1"/>
          <w:right w:val="single" w:sz="4" w:space="0" w:color="45A7E1" w:themeColor="accent1"/>
          <w:insideH w:val="nil"/>
          <w:insideV w:val="nil"/>
        </w:tcBorders>
        <w:shd w:val="clear" w:color="auto" w:fill="45A7E1" w:themeFill="accent1"/>
      </w:tcPr>
    </w:tblStylePr>
    <w:tblStylePr w:type="lastRow">
      <w:rPr>
        <w:b/>
        <w:bCs/>
      </w:rPr>
      <w:tblPr/>
      <w:tcPr>
        <w:tcBorders>
          <w:top w:val="double" w:sz="4" w:space="0" w:color="45A7E1" w:themeColor="accent1"/>
        </w:tcBorders>
      </w:tcPr>
    </w:tblStylePr>
    <w:tblStylePr w:type="firstCol">
      <w:rPr>
        <w:b/>
        <w:bCs/>
      </w:rPr>
    </w:tblStylePr>
    <w:tblStylePr w:type="lastCol">
      <w:rPr>
        <w:b/>
        <w:bCs/>
      </w:rPr>
    </w:tblStylePr>
    <w:tblStylePr w:type="band1Vert">
      <w:tblPr/>
      <w:tcPr>
        <w:shd w:val="clear" w:color="auto" w:fill="D9EDF9" w:themeFill="accent1" w:themeFillTint="33"/>
      </w:tcPr>
    </w:tblStylePr>
    <w:tblStylePr w:type="band1Horz">
      <w:tblPr/>
      <w:tcPr>
        <w:shd w:val="clear" w:color="auto" w:fill="D9EDF9" w:themeFill="accent1" w:themeFillTint="33"/>
      </w:tcPr>
    </w:tblStylePr>
  </w:style>
  <w:style w:type="table" w:customStyle="1" w:styleId="LightGrid-Accent11">
    <w:name w:val="Light Grid - Accent 11"/>
    <w:basedOn w:val="TableNormal"/>
    <w:uiPriority w:val="62"/>
    <w:rsid w:val="00D61E15"/>
    <w:rPr>
      <w:sz w:val="22"/>
      <w:szCs w:val="22"/>
      <w:lang w:val="en-GB"/>
    </w:rPr>
    <w:tblPr>
      <w:tblStyleRowBandSize w:val="1"/>
      <w:tblStyleColBandSize w:val="1"/>
      <w:tblBorders>
        <w:top w:val="single" w:sz="8" w:space="0" w:color="45A7E1" w:themeColor="accent1"/>
        <w:left w:val="single" w:sz="8" w:space="0" w:color="45A7E1" w:themeColor="accent1"/>
        <w:bottom w:val="single" w:sz="8" w:space="0" w:color="45A7E1" w:themeColor="accent1"/>
        <w:right w:val="single" w:sz="8" w:space="0" w:color="45A7E1" w:themeColor="accent1"/>
        <w:insideH w:val="single" w:sz="8" w:space="0" w:color="45A7E1" w:themeColor="accent1"/>
        <w:insideV w:val="single" w:sz="8" w:space="0" w:color="45A7E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A7E1" w:themeColor="accent1"/>
          <w:left w:val="single" w:sz="8" w:space="0" w:color="45A7E1" w:themeColor="accent1"/>
          <w:bottom w:val="single" w:sz="18" w:space="0" w:color="45A7E1" w:themeColor="accent1"/>
          <w:right w:val="single" w:sz="8" w:space="0" w:color="45A7E1" w:themeColor="accent1"/>
          <w:insideH w:val="nil"/>
          <w:insideV w:val="single" w:sz="8" w:space="0" w:color="45A7E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A7E1" w:themeColor="accent1"/>
          <w:left w:val="single" w:sz="8" w:space="0" w:color="45A7E1" w:themeColor="accent1"/>
          <w:bottom w:val="single" w:sz="8" w:space="0" w:color="45A7E1" w:themeColor="accent1"/>
          <w:right w:val="single" w:sz="8" w:space="0" w:color="45A7E1" w:themeColor="accent1"/>
          <w:insideH w:val="nil"/>
          <w:insideV w:val="single" w:sz="8" w:space="0" w:color="45A7E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A7E1" w:themeColor="accent1"/>
          <w:left w:val="single" w:sz="8" w:space="0" w:color="45A7E1" w:themeColor="accent1"/>
          <w:bottom w:val="single" w:sz="8" w:space="0" w:color="45A7E1" w:themeColor="accent1"/>
          <w:right w:val="single" w:sz="8" w:space="0" w:color="45A7E1" w:themeColor="accent1"/>
        </w:tcBorders>
      </w:tcPr>
    </w:tblStylePr>
    <w:tblStylePr w:type="band1Vert">
      <w:tblPr/>
      <w:tcPr>
        <w:tcBorders>
          <w:top w:val="single" w:sz="8" w:space="0" w:color="45A7E1" w:themeColor="accent1"/>
          <w:left w:val="single" w:sz="8" w:space="0" w:color="45A7E1" w:themeColor="accent1"/>
          <w:bottom w:val="single" w:sz="8" w:space="0" w:color="45A7E1" w:themeColor="accent1"/>
          <w:right w:val="single" w:sz="8" w:space="0" w:color="45A7E1" w:themeColor="accent1"/>
        </w:tcBorders>
        <w:shd w:val="clear" w:color="auto" w:fill="D0E9F7" w:themeFill="accent1" w:themeFillTint="3F"/>
      </w:tcPr>
    </w:tblStylePr>
    <w:tblStylePr w:type="band1Horz">
      <w:tblPr/>
      <w:tcPr>
        <w:tcBorders>
          <w:top w:val="single" w:sz="8" w:space="0" w:color="45A7E1" w:themeColor="accent1"/>
          <w:left w:val="single" w:sz="8" w:space="0" w:color="45A7E1" w:themeColor="accent1"/>
          <w:bottom w:val="single" w:sz="8" w:space="0" w:color="45A7E1" w:themeColor="accent1"/>
          <w:right w:val="single" w:sz="8" w:space="0" w:color="45A7E1" w:themeColor="accent1"/>
          <w:insideV w:val="single" w:sz="8" w:space="0" w:color="45A7E1" w:themeColor="accent1"/>
        </w:tcBorders>
        <w:shd w:val="clear" w:color="auto" w:fill="D0E9F7" w:themeFill="accent1" w:themeFillTint="3F"/>
      </w:tcPr>
    </w:tblStylePr>
    <w:tblStylePr w:type="band2Horz">
      <w:tblPr/>
      <w:tcPr>
        <w:tcBorders>
          <w:top w:val="single" w:sz="8" w:space="0" w:color="45A7E1" w:themeColor="accent1"/>
          <w:left w:val="single" w:sz="8" w:space="0" w:color="45A7E1" w:themeColor="accent1"/>
          <w:bottom w:val="single" w:sz="8" w:space="0" w:color="45A7E1" w:themeColor="accent1"/>
          <w:right w:val="single" w:sz="8" w:space="0" w:color="45A7E1" w:themeColor="accent1"/>
          <w:insideV w:val="single" w:sz="8" w:space="0" w:color="45A7E1" w:themeColor="accent1"/>
        </w:tcBorders>
      </w:tcPr>
    </w:tblStylePr>
  </w:style>
  <w:style w:type="table" w:customStyle="1" w:styleId="ListTable4-Accent11">
    <w:name w:val="List Table 4 - Accent 11"/>
    <w:basedOn w:val="TableNormal"/>
    <w:uiPriority w:val="49"/>
    <w:rsid w:val="00D61E15"/>
    <w:rPr>
      <w:sz w:val="22"/>
      <w:szCs w:val="22"/>
      <w:lang w:val="en-GB"/>
    </w:rPr>
    <w:tblPr>
      <w:tblStyleRowBandSize w:val="1"/>
      <w:tblStyleColBandSize w:val="1"/>
      <w:tblBorders>
        <w:top w:val="single" w:sz="4" w:space="0" w:color="8FCAED" w:themeColor="accent1" w:themeTint="99"/>
        <w:left w:val="single" w:sz="4" w:space="0" w:color="8FCAED" w:themeColor="accent1" w:themeTint="99"/>
        <w:bottom w:val="single" w:sz="4" w:space="0" w:color="8FCAED" w:themeColor="accent1" w:themeTint="99"/>
        <w:right w:val="single" w:sz="4" w:space="0" w:color="8FCAED" w:themeColor="accent1" w:themeTint="99"/>
        <w:insideH w:val="single" w:sz="4" w:space="0" w:color="8FCAED" w:themeColor="accent1" w:themeTint="99"/>
      </w:tblBorders>
    </w:tblPr>
    <w:tblStylePr w:type="firstRow">
      <w:rPr>
        <w:b/>
        <w:bCs/>
        <w:color w:val="FFFFFF" w:themeColor="background1"/>
      </w:rPr>
      <w:tblPr/>
      <w:tcPr>
        <w:tcBorders>
          <w:top w:val="single" w:sz="4" w:space="0" w:color="45A7E1" w:themeColor="accent1"/>
          <w:left w:val="single" w:sz="4" w:space="0" w:color="45A7E1" w:themeColor="accent1"/>
          <w:bottom w:val="single" w:sz="4" w:space="0" w:color="45A7E1" w:themeColor="accent1"/>
          <w:right w:val="single" w:sz="4" w:space="0" w:color="45A7E1" w:themeColor="accent1"/>
          <w:insideH w:val="nil"/>
        </w:tcBorders>
        <w:shd w:val="clear" w:color="auto" w:fill="45A7E1" w:themeFill="accent1"/>
      </w:tcPr>
    </w:tblStylePr>
    <w:tblStylePr w:type="lastRow">
      <w:rPr>
        <w:b/>
        <w:bCs/>
      </w:rPr>
      <w:tblPr/>
      <w:tcPr>
        <w:tcBorders>
          <w:top w:val="double" w:sz="4" w:space="0" w:color="8FCAED" w:themeColor="accent1" w:themeTint="99"/>
        </w:tcBorders>
      </w:tcPr>
    </w:tblStylePr>
    <w:tblStylePr w:type="firstCol">
      <w:rPr>
        <w:b/>
        <w:bCs/>
      </w:rPr>
    </w:tblStylePr>
    <w:tblStylePr w:type="lastCol">
      <w:rPr>
        <w:b/>
        <w:bCs/>
      </w:rPr>
    </w:tblStylePr>
    <w:tblStylePr w:type="band1Vert">
      <w:tblPr/>
      <w:tcPr>
        <w:shd w:val="clear" w:color="auto" w:fill="D9EDF9" w:themeFill="accent1" w:themeFillTint="33"/>
      </w:tcPr>
    </w:tblStylePr>
    <w:tblStylePr w:type="band1Horz">
      <w:tblPr/>
      <w:tcPr>
        <w:shd w:val="clear" w:color="auto" w:fill="D9EDF9" w:themeFill="accent1" w:themeFillTint="33"/>
      </w:tcPr>
    </w:tblStylePr>
  </w:style>
  <w:style w:type="table" w:customStyle="1" w:styleId="TableGrid1">
    <w:name w:val="Table Grid1"/>
    <w:basedOn w:val="TableNormal"/>
    <w:next w:val="TableGrid"/>
    <w:uiPriority w:val="39"/>
    <w:rsid w:val="00D61E15"/>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5Dark-Accent11">
    <w:name w:val="Grid Table 5 Dark - Accent 11"/>
    <w:basedOn w:val="TableNormal"/>
    <w:uiPriority w:val="50"/>
    <w:rsid w:val="00D61E15"/>
    <w:rPr>
      <w:sz w:val="22"/>
      <w:szCs w:val="22"/>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D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5A7E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A7E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5A7E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5A7E1" w:themeFill="accent1"/>
      </w:tcPr>
    </w:tblStylePr>
    <w:tblStylePr w:type="band1Vert">
      <w:tblPr/>
      <w:tcPr>
        <w:shd w:val="clear" w:color="auto" w:fill="B4DBF3" w:themeFill="accent1" w:themeFillTint="66"/>
      </w:tcPr>
    </w:tblStylePr>
    <w:tblStylePr w:type="band1Horz">
      <w:tblPr/>
      <w:tcPr>
        <w:shd w:val="clear" w:color="auto" w:fill="B4DBF3" w:themeFill="accent1" w:themeFillTint="66"/>
      </w:tcPr>
    </w:tblStylePr>
  </w:style>
  <w:style w:type="table" w:customStyle="1" w:styleId="GridTable41">
    <w:name w:val="Grid Table 41"/>
    <w:basedOn w:val="TableNormal"/>
    <w:uiPriority w:val="49"/>
    <w:rsid w:val="00D61E15"/>
    <w:rPr>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OPMTable2019">
    <w:name w:val="OPM Table 2019"/>
    <w:basedOn w:val="TableNormal"/>
    <w:uiPriority w:val="99"/>
    <w:rsid w:val="00C45B20"/>
    <w:pPr>
      <w:spacing w:before="40" w:after="40"/>
    </w:pPr>
    <w:rPr>
      <w:rFonts w:ascii="Arial" w:eastAsia="Times New Roman" w:hAnsi="Arial" w:cs="Times New Roman"/>
      <w:sz w:val="20"/>
      <w:szCs w:val="20"/>
      <w:lang w:val="en-GB" w:eastAsia="en-GB"/>
    </w:rPr>
    <w:tblPr>
      <w:tblBorders>
        <w:top w:val="single" w:sz="2" w:space="0" w:color="45A7E1"/>
        <w:left w:val="single" w:sz="2" w:space="0" w:color="45A7E1"/>
        <w:bottom w:val="single" w:sz="2" w:space="0" w:color="45A7E1"/>
        <w:right w:val="single" w:sz="2" w:space="0" w:color="45A7E1"/>
        <w:insideH w:val="single" w:sz="2" w:space="0" w:color="45A7E1"/>
        <w:insideV w:val="single" w:sz="2" w:space="0" w:color="45A7E1"/>
      </w:tblBorders>
      <w:tblCellMar>
        <w:left w:w="57" w:type="dxa"/>
        <w:right w:w="57" w:type="dxa"/>
      </w:tblCellMar>
    </w:tblPr>
    <w:tcPr>
      <w:shd w:val="clear" w:color="auto" w:fill="DBE4ED"/>
      <w:vAlign w:val="center"/>
    </w:tcPr>
    <w:tblStylePr w:type="firstRow">
      <w:pPr>
        <w:keepNext/>
        <w:wordWrap/>
        <w:spacing w:beforeLines="0" w:beforeAutospacing="0" w:afterLines="0" w:afterAutospacing="0"/>
        <w:contextualSpacing w:val="0"/>
        <w:jc w:val="left"/>
      </w:pPr>
      <w:rPr>
        <w:rFonts w:ascii="Arial" w:hAnsi="Arial"/>
        <w:b/>
        <w:color w:val="FFFFFF" w:themeColor="background1"/>
        <w:sz w:val="20"/>
      </w:rPr>
      <w:tblPr/>
      <w:trPr>
        <w:tblHeader/>
      </w:trPr>
      <w:tcPr>
        <w:shd w:val="clear" w:color="auto" w:fill="0B1F51"/>
      </w:tcPr>
    </w:tblStylePr>
    <w:tblStylePr w:type="lastRow">
      <w:rPr>
        <w:b/>
        <w:i w:val="0"/>
        <w:color w:val="0B1F51"/>
      </w:rPr>
      <w:tblPr/>
      <w:tcPr>
        <w:shd w:val="clear" w:color="auto" w:fill="DBE4ED"/>
      </w:tcPr>
    </w:tblStylePr>
    <w:tblStylePr w:type="firstCol">
      <w:pPr>
        <w:jc w:val="left"/>
      </w:pPr>
      <w:rPr>
        <w:b/>
        <w:color w:val="0B1F51"/>
      </w:rPr>
      <w:tblPr/>
      <w:tcPr>
        <w:shd w:val="clear" w:color="auto" w:fill="DBE4ED"/>
      </w:tcPr>
    </w:tblStylePr>
  </w:style>
  <w:style w:type="character" w:customStyle="1" w:styleId="Heading3Char1">
    <w:name w:val="Heading 3 Char1"/>
    <w:aliases w:val="Heading OPM 3 Char1"/>
    <w:basedOn w:val="DefaultParagraphFont"/>
    <w:uiPriority w:val="9"/>
    <w:semiHidden/>
    <w:rsid w:val="00FA2332"/>
    <w:rPr>
      <w:rFonts w:asciiTheme="majorHAnsi" w:eastAsiaTheme="majorEastAsia" w:hAnsiTheme="majorHAnsi" w:cstheme="majorBidi"/>
      <w:color w:val="14567E" w:themeColor="accent1" w:themeShade="7F"/>
      <w:sz w:val="24"/>
      <w:szCs w:val="24"/>
      <w:lang w:val="en-GB"/>
    </w:rPr>
  </w:style>
  <w:style w:type="paragraph" w:customStyle="1" w:styleId="msonormal0">
    <w:name w:val="msonormal"/>
    <w:basedOn w:val="Normal"/>
    <w:rsid w:val="00FA2332"/>
    <w:pPr>
      <w:spacing w:before="100" w:beforeAutospacing="1" w:after="100" w:afterAutospacing="1" w:line="240" w:lineRule="auto"/>
    </w:pPr>
    <w:rPr>
      <w:rFonts w:ascii="Times New Roman" w:eastAsia="Times New Roman" w:hAnsi="Times New Roman" w:cs="Times New Roman"/>
      <w:sz w:val="24"/>
      <w:szCs w:val="24"/>
      <w:lang w:val="en-AU" w:eastAsia="en-US"/>
    </w:rPr>
  </w:style>
  <w:style w:type="table" w:styleId="MediumList1-Accent5">
    <w:name w:val="Medium List 1 Accent 5"/>
    <w:basedOn w:val="TableNormal"/>
    <w:uiPriority w:val="65"/>
    <w:unhideWhenUsed/>
    <w:rsid w:val="00FA2332"/>
    <w:rPr>
      <w:color w:val="000000" w:themeColor="text1"/>
      <w:sz w:val="22"/>
      <w:szCs w:val="22"/>
    </w:rPr>
    <w:tblPr>
      <w:tblStyleRowBandSize w:val="1"/>
      <w:tblStyleColBandSize w:val="1"/>
      <w:tblBorders>
        <w:top w:val="single" w:sz="8" w:space="0" w:color="9187E9" w:themeColor="accent5"/>
        <w:bottom w:val="single" w:sz="8" w:space="0" w:color="9187E9" w:themeColor="accent5"/>
      </w:tblBorders>
    </w:tblPr>
    <w:tblStylePr w:type="firstRow">
      <w:rPr>
        <w:rFonts w:asciiTheme="majorHAnsi" w:eastAsiaTheme="majorEastAsia" w:hAnsiTheme="majorHAnsi" w:cstheme="majorBidi" w:hint="default"/>
      </w:rPr>
      <w:tblPr/>
      <w:tcPr>
        <w:tcBorders>
          <w:top w:val="nil"/>
          <w:bottom w:val="single" w:sz="8" w:space="0" w:color="9187E9" w:themeColor="accent5"/>
        </w:tcBorders>
      </w:tcPr>
    </w:tblStylePr>
    <w:tblStylePr w:type="lastRow">
      <w:rPr>
        <w:b/>
        <w:bCs/>
        <w:color w:val="0A1F50" w:themeColor="text2"/>
      </w:rPr>
      <w:tblPr/>
      <w:tcPr>
        <w:tcBorders>
          <w:top w:val="single" w:sz="8" w:space="0" w:color="9187E9" w:themeColor="accent5"/>
          <w:bottom w:val="single" w:sz="8" w:space="0" w:color="9187E9" w:themeColor="accent5"/>
        </w:tcBorders>
      </w:tcPr>
    </w:tblStylePr>
    <w:tblStylePr w:type="firstCol">
      <w:rPr>
        <w:b/>
        <w:bCs/>
      </w:rPr>
    </w:tblStylePr>
    <w:tblStylePr w:type="lastCol">
      <w:rPr>
        <w:b/>
        <w:bCs/>
      </w:rPr>
      <w:tblPr/>
      <w:tcPr>
        <w:tcBorders>
          <w:top w:val="single" w:sz="8" w:space="0" w:color="9187E9" w:themeColor="accent5"/>
          <w:bottom w:val="single" w:sz="8" w:space="0" w:color="9187E9" w:themeColor="accent5"/>
        </w:tcBorders>
      </w:tcPr>
    </w:tblStylePr>
    <w:tblStylePr w:type="band1Vert">
      <w:tblPr/>
      <w:tcPr>
        <w:shd w:val="clear" w:color="auto" w:fill="E3E1F9" w:themeFill="accent5" w:themeFillTint="3F"/>
      </w:tcPr>
    </w:tblStylePr>
    <w:tblStylePr w:type="band1Horz">
      <w:tblPr/>
      <w:tcPr>
        <w:shd w:val="clear" w:color="auto" w:fill="E3E1F9" w:themeFill="accent5" w:themeFillTint="3F"/>
      </w:tcPr>
    </w:tblStylePr>
  </w:style>
  <w:style w:type="character" w:customStyle="1" w:styleId="e24kjd">
    <w:name w:val="e24kjd"/>
    <w:basedOn w:val="DefaultParagraphFont"/>
    <w:rsid w:val="003124FC"/>
  </w:style>
  <w:style w:type="paragraph" w:customStyle="1" w:styleId="tabletext0">
    <w:name w:val="tabletext"/>
    <w:basedOn w:val="Normal"/>
    <w:rsid w:val="00B72A63"/>
    <w:pPr>
      <w:spacing w:before="100" w:beforeAutospacing="1" w:after="100" w:afterAutospacing="1" w:line="240" w:lineRule="auto"/>
    </w:pPr>
    <w:rPr>
      <w:rFonts w:ascii="Times New Roman" w:hAnsi="Times New Roman" w:cs="Times New Roman"/>
      <w:sz w:val="24"/>
      <w:szCs w:val="24"/>
    </w:rPr>
  </w:style>
  <w:style w:type="paragraph" w:customStyle="1" w:styleId="tablenotes0">
    <w:name w:val="tablenotes"/>
    <w:basedOn w:val="Normal"/>
    <w:rsid w:val="00B72A63"/>
    <w:pPr>
      <w:spacing w:before="100" w:beforeAutospacing="1" w:after="100" w:afterAutospacing="1" w:line="240" w:lineRule="auto"/>
    </w:pPr>
    <w:rPr>
      <w:rFonts w:ascii="Times New Roman" w:hAnsi="Times New Roman" w:cs="Times New Roman"/>
      <w:sz w:val="24"/>
      <w:szCs w:val="24"/>
    </w:rPr>
  </w:style>
  <w:style w:type="character" w:customStyle="1" w:styleId="CaptionChar">
    <w:name w:val="Caption Char"/>
    <w:basedOn w:val="DefaultParagraphFont"/>
    <w:link w:val="Caption"/>
    <w:rsid w:val="000B4BD4"/>
    <w:rPr>
      <w:rFonts w:ascii="Arial" w:eastAsia="Times New Roman" w:hAnsi="Arial" w:cs="Times New Roman"/>
      <w:b/>
      <w:bCs/>
      <w:color w:val="0B1F51"/>
      <w:sz w:val="22"/>
      <w:szCs w:val="22"/>
      <w:lang w:val="en-GB"/>
    </w:rPr>
  </w:style>
  <w:style w:type="table" w:customStyle="1" w:styleId="PlainTable12">
    <w:name w:val="Plain Table 12"/>
    <w:basedOn w:val="TableNormal"/>
    <w:uiPriority w:val="41"/>
    <w:rsid w:val="00EA1AD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KeepNext">
    <w:name w:val="KeepNext"/>
    <w:basedOn w:val="BodyText"/>
    <w:rsid w:val="00EA1ADD"/>
    <w:pPr>
      <w:keepNext/>
      <w:spacing w:after="120"/>
    </w:pPr>
  </w:style>
  <w:style w:type="paragraph" w:customStyle="1" w:styleId="StyleBoxcaption">
    <w:name w:val="Style Box caption"/>
    <w:basedOn w:val="Boxcaption"/>
    <w:next w:val="Boxtext"/>
    <w:rsid w:val="00EA1ADD"/>
  </w:style>
  <w:style w:type="paragraph" w:customStyle="1" w:styleId="StyleHeading1NONUMBefore12pt">
    <w:name w:val="Style Heading 1 NO NUM + Before:  12 pt"/>
    <w:basedOn w:val="Heading1NONUM"/>
    <w:rsid w:val="00EA1ADD"/>
    <w:pPr>
      <w:spacing w:before="240"/>
    </w:pPr>
    <w:rPr>
      <w:bCs/>
    </w:rPr>
  </w:style>
  <w:style w:type="table" w:customStyle="1" w:styleId="GridTable4-Accent12">
    <w:name w:val="Grid Table 4 - Accent 12"/>
    <w:basedOn w:val="TableNormal"/>
    <w:uiPriority w:val="59"/>
    <w:rsid w:val="002733F3"/>
    <w:tblPr>
      <w:tblStyleRowBandSize w:val="1"/>
      <w:tblStyleColBandSize w:val="1"/>
      <w:tblBorders>
        <w:top w:val="single" w:sz="4" w:space="0" w:color="8FCAED" w:themeColor="accent1" w:themeTint="99"/>
        <w:left w:val="single" w:sz="4" w:space="0" w:color="8FCAED" w:themeColor="accent1" w:themeTint="99"/>
        <w:bottom w:val="single" w:sz="4" w:space="0" w:color="8FCAED" w:themeColor="accent1" w:themeTint="99"/>
        <w:right w:val="single" w:sz="4" w:space="0" w:color="8FCAED" w:themeColor="accent1" w:themeTint="99"/>
        <w:insideH w:val="single" w:sz="4" w:space="0" w:color="8FCAED" w:themeColor="accent1" w:themeTint="99"/>
        <w:insideV w:val="single" w:sz="4" w:space="0" w:color="8FCAED" w:themeColor="accent1" w:themeTint="99"/>
      </w:tblBorders>
    </w:tblPr>
    <w:tblStylePr w:type="firstRow">
      <w:rPr>
        <w:b/>
        <w:bCs/>
        <w:color w:val="FFFFFF" w:themeColor="background1"/>
      </w:rPr>
      <w:tblPr/>
      <w:tcPr>
        <w:tcBorders>
          <w:top w:val="single" w:sz="4" w:space="0" w:color="45A7E1" w:themeColor="accent1"/>
          <w:left w:val="single" w:sz="4" w:space="0" w:color="45A7E1" w:themeColor="accent1"/>
          <w:bottom w:val="single" w:sz="4" w:space="0" w:color="45A7E1" w:themeColor="accent1"/>
          <w:right w:val="single" w:sz="4" w:space="0" w:color="45A7E1" w:themeColor="accent1"/>
          <w:insideH w:val="nil"/>
          <w:insideV w:val="nil"/>
        </w:tcBorders>
        <w:shd w:val="clear" w:color="auto" w:fill="45A7E1" w:themeFill="accent1"/>
      </w:tcPr>
    </w:tblStylePr>
    <w:tblStylePr w:type="lastRow">
      <w:rPr>
        <w:b/>
        <w:bCs/>
      </w:rPr>
      <w:tblPr/>
      <w:tcPr>
        <w:tcBorders>
          <w:top w:val="double" w:sz="4" w:space="0" w:color="45A7E1" w:themeColor="accent1"/>
        </w:tcBorders>
      </w:tcPr>
    </w:tblStylePr>
    <w:tblStylePr w:type="firstCol">
      <w:rPr>
        <w:b/>
        <w:bCs/>
      </w:rPr>
    </w:tblStylePr>
    <w:tblStylePr w:type="lastCol">
      <w:rPr>
        <w:b/>
        <w:bCs/>
      </w:rPr>
    </w:tblStylePr>
    <w:tblStylePr w:type="band1Vert">
      <w:tblPr/>
      <w:tcPr>
        <w:shd w:val="clear" w:color="auto" w:fill="D9EDF9" w:themeFill="accent1" w:themeFillTint="33"/>
      </w:tcPr>
    </w:tblStylePr>
    <w:tblStylePr w:type="band1Horz">
      <w:tblPr/>
      <w:tcPr>
        <w:shd w:val="clear" w:color="auto" w:fill="D9EDF9" w:themeFill="accent1" w:themeFillTint="33"/>
      </w:tcPr>
    </w:tblStylePr>
  </w:style>
  <w:style w:type="character" w:customStyle="1" w:styleId="normaltextrun">
    <w:name w:val="normaltextrun"/>
    <w:basedOn w:val="DefaultParagraphFont"/>
    <w:rsid w:val="00B806F8"/>
  </w:style>
  <w:style w:type="table" w:customStyle="1" w:styleId="GridTable4-Accent52">
    <w:name w:val="Grid Table 4 - Accent 52"/>
    <w:basedOn w:val="TableNormal"/>
    <w:uiPriority w:val="49"/>
    <w:rsid w:val="00DA369A"/>
    <w:rPr>
      <w:sz w:val="22"/>
      <w:szCs w:val="22"/>
    </w:rPr>
    <w:tblPr>
      <w:tblStyleRowBandSize w:val="1"/>
      <w:tblStyleColBandSize w:val="1"/>
      <w:tblBorders>
        <w:top w:val="single" w:sz="4" w:space="0" w:color="BCB6F1" w:themeColor="accent5" w:themeTint="99"/>
        <w:left w:val="single" w:sz="4" w:space="0" w:color="BCB6F1" w:themeColor="accent5" w:themeTint="99"/>
        <w:bottom w:val="single" w:sz="4" w:space="0" w:color="BCB6F1" w:themeColor="accent5" w:themeTint="99"/>
        <w:right w:val="single" w:sz="4" w:space="0" w:color="BCB6F1" w:themeColor="accent5" w:themeTint="99"/>
        <w:insideH w:val="single" w:sz="4" w:space="0" w:color="BCB6F1" w:themeColor="accent5" w:themeTint="99"/>
        <w:insideV w:val="single" w:sz="4" w:space="0" w:color="BCB6F1" w:themeColor="accent5" w:themeTint="99"/>
      </w:tblBorders>
    </w:tblPr>
    <w:tblStylePr w:type="firstRow">
      <w:rPr>
        <w:b/>
        <w:bCs/>
        <w:color w:val="FFFFFF" w:themeColor="background1"/>
      </w:rPr>
      <w:tblPr/>
      <w:tcPr>
        <w:tcBorders>
          <w:top w:val="single" w:sz="4" w:space="0" w:color="9187E9" w:themeColor="accent5"/>
          <w:left w:val="single" w:sz="4" w:space="0" w:color="9187E9" w:themeColor="accent5"/>
          <w:bottom w:val="single" w:sz="4" w:space="0" w:color="9187E9" w:themeColor="accent5"/>
          <w:right w:val="single" w:sz="4" w:space="0" w:color="9187E9" w:themeColor="accent5"/>
          <w:insideH w:val="nil"/>
          <w:insideV w:val="nil"/>
        </w:tcBorders>
        <w:shd w:val="clear" w:color="auto" w:fill="9187E9" w:themeFill="accent5"/>
      </w:tcPr>
    </w:tblStylePr>
    <w:tblStylePr w:type="lastRow">
      <w:rPr>
        <w:b/>
        <w:bCs/>
      </w:rPr>
      <w:tblPr/>
      <w:tcPr>
        <w:tcBorders>
          <w:top w:val="double" w:sz="4" w:space="0" w:color="9187E9" w:themeColor="accent5"/>
        </w:tcBorders>
      </w:tcPr>
    </w:tblStylePr>
    <w:tblStylePr w:type="firstCol">
      <w:rPr>
        <w:b/>
        <w:bCs/>
      </w:rPr>
    </w:tblStylePr>
    <w:tblStylePr w:type="lastCol">
      <w:rPr>
        <w:b/>
        <w:bCs/>
      </w:rPr>
    </w:tblStylePr>
    <w:tblStylePr w:type="band1Vert">
      <w:tblPr/>
      <w:tcPr>
        <w:shd w:val="clear" w:color="auto" w:fill="E8E6FA" w:themeFill="accent5" w:themeFillTint="33"/>
      </w:tcPr>
    </w:tblStylePr>
    <w:tblStylePr w:type="band1Horz">
      <w:tblPr/>
      <w:tcPr>
        <w:shd w:val="clear" w:color="auto" w:fill="E8E6FA" w:themeFill="accent5" w:themeFillTint="33"/>
      </w:tcPr>
    </w:tblStylePr>
  </w:style>
  <w:style w:type="table" w:customStyle="1" w:styleId="GridTable6Colorful-Accent11">
    <w:name w:val="Grid Table 6 Colorful - Accent 11"/>
    <w:basedOn w:val="TableNormal"/>
    <w:uiPriority w:val="51"/>
    <w:rsid w:val="00DA369A"/>
    <w:rPr>
      <w:color w:val="1E82BD" w:themeColor="accent1" w:themeShade="BF"/>
      <w:sz w:val="22"/>
      <w:szCs w:val="22"/>
      <w:lang w:val="en-GB"/>
    </w:rPr>
    <w:tblPr>
      <w:tblStyleRowBandSize w:val="1"/>
      <w:tblStyleColBandSize w:val="1"/>
      <w:tblBorders>
        <w:top w:val="single" w:sz="4" w:space="0" w:color="8FCAED" w:themeColor="accent1" w:themeTint="99"/>
        <w:left w:val="single" w:sz="4" w:space="0" w:color="8FCAED" w:themeColor="accent1" w:themeTint="99"/>
        <w:bottom w:val="single" w:sz="4" w:space="0" w:color="8FCAED" w:themeColor="accent1" w:themeTint="99"/>
        <w:right w:val="single" w:sz="4" w:space="0" w:color="8FCAED" w:themeColor="accent1" w:themeTint="99"/>
        <w:insideH w:val="single" w:sz="4" w:space="0" w:color="8FCAED" w:themeColor="accent1" w:themeTint="99"/>
        <w:insideV w:val="single" w:sz="4" w:space="0" w:color="8FCAED" w:themeColor="accent1" w:themeTint="99"/>
      </w:tblBorders>
    </w:tblPr>
    <w:tblStylePr w:type="firstRow">
      <w:rPr>
        <w:b/>
        <w:bCs/>
      </w:rPr>
      <w:tblPr/>
      <w:tcPr>
        <w:tcBorders>
          <w:bottom w:val="single" w:sz="12" w:space="0" w:color="8FCAED" w:themeColor="accent1" w:themeTint="99"/>
        </w:tcBorders>
      </w:tcPr>
    </w:tblStylePr>
    <w:tblStylePr w:type="lastRow">
      <w:rPr>
        <w:b/>
        <w:bCs/>
      </w:rPr>
      <w:tblPr/>
      <w:tcPr>
        <w:tcBorders>
          <w:top w:val="double" w:sz="4" w:space="0" w:color="8FCAED" w:themeColor="accent1" w:themeTint="99"/>
        </w:tcBorders>
      </w:tcPr>
    </w:tblStylePr>
    <w:tblStylePr w:type="firstCol">
      <w:rPr>
        <w:b/>
        <w:bCs/>
      </w:rPr>
    </w:tblStylePr>
    <w:tblStylePr w:type="lastCol">
      <w:rPr>
        <w:b/>
        <w:bCs/>
      </w:rPr>
    </w:tblStylePr>
    <w:tblStylePr w:type="band1Vert">
      <w:tblPr/>
      <w:tcPr>
        <w:shd w:val="clear" w:color="auto" w:fill="D9EDF9" w:themeFill="accent1" w:themeFillTint="33"/>
      </w:tcPr>
    </w:tblStylePr>
    <w:tblStylePr w:type="band1Horz">
      <w:tblPr/>
      <w:tcPr>
        <w:shd w:val="clear" w:color="auto" w:fill="D9EDF9" w:themeFill="accent1" w:themeFillTint="33"/>
      </w:tcPr>
    </w:tblStylePr>
  </w:style>
  <w:style w:type="paragraph" w:customStyle="1" w:styleId="xmsonormal">
    <w:name w:val="x_msonormal"/>
    <w:basedOn w:val="Normal"/>
    <w:rsid w:val="00DA369A"/>
    <w:pPr>
      <w:spacing w:before="100" w:beforeAutospacing="1" w:after="100" w:afterAutospacing="1" w:line="240" w:lineRule="auto"/>
    </w:pPr>
    <w:rPr>
      <w:rFonts w:ascii="Calibri" w:eastAsiaTheme="minorEastAsia" w:hAnsi="Calibri" w:cs="Calibri"/>
      <w:sz w:val="24"/>
      <w:szCs w:val="24"/>
      <w:lang w:val="en-US" w:eastAsia="en-US"/>
    </w:rPr>
  </w:style>
  <w:style w:type="paragraph" w:customStyle="1" w:styleId="xmsonormal0">
    <w:name w:val="xmsonormal"/>
    <w:basedOn w:val="Normal"/>
    <w:rsid w:val="00DA369A"/>
    <w:pPr>
      <w:spacing w:before="100" w:beforeAutospacing="1" w:after="100" w:afterAutospacing="1" w:line="240" w:lineRule="auto"/>
    </w:pPr>
    <w:rPr>
      <w:rFonts w:ascii="Times New Roman" w:eastAsia="Times New Roman" w:hAnsi="Times New Roman" w:cs="Times New Roman"/>
      <w:sz w:val="24"/>
      <w:szCs w:val="24"/>
      <w:lang w:val="en-AU" w:eastAsia="en-US"/>
    </w:rPr>
  </w:style>
  <w:style w:type="character" w:customStyle="1" w:styleId="UnresolvedMention3">
    <w:name w:val="Unresolved Mention3"/>
    <w:basedOn w:val="DefaultParagraphFont"/>
    <w:uiPriority w:val="99"/>
    <w:semiHidden/>
    <w:unhideWhenUsed/>
    <w:rsid w:val="00DA369A"/>
    <w:rPr>
      <w:color w:val="605E5C"/>
      <w:shd w:val="clear" w:color="auto" w:fill="E1DFDD"/>
    </w:rPr>
  </w:style>
  <w:style w:type="table" w:customStyle="1" w:styleId="LightShading21">
    <w:name w:val="Light Shading21"/>
    <w:basedOn w:val="TableNormal"/>
    <w:uiPriority w:val="60"/>
    <w:rsid w:val="00263901"/>
    <w:rPr>
      <w:color w:val="000000" w:themeColor="text1" w:themeShade="BF"/>
      <w:sz w:val="22"/>
      <w:szCs w:val="22"/>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Accent111">
    <w:name w:val="Medium Shading 1 - Accent 111"/>
    <w:basedOn w:val="TableNormal"/>
    <w:uiPriority w:val="63"/>
    <w:rsid w:val="00263901"/>
    <w:rPr>
      <w:rFonts w:ascii="Arial" w:hAnsi="Arial"/>
      <w:sz w:val="22"/>
      <w:szCs w:val="22"/>
      <w:lang w:val="en-GB"/>
    </w:rPr>
    <w:tblPr>
      <w:tblStyleRowBandSize w:val="1"/>
      <w:tblStyleColBandSize w:val="1"/>
      <w:tblBorders>
        <w:top w:val="single" w:sz="8" w:space="0" w:color="73BCE8" w:themeColor="accent1" w:themeTint="BF"/>
        <w:left w:val="single" w:sz="8" w:space="0" w:color="73BCE8" w:themeColor="accent1" w:themeTint="BF"/>
        <w:bottom w:val="single" w:sz="8" w:space="0" w:color="73BCE8" w:themeColor="accent1" w:themeTint="BF"/>
        <w:right w:val="single" w:sz="8" w:space="0" w:color="73BCE8" w:themeColor="accent1" w:themeTint="BF"/>
        <w:insideH w:val="single" w:sz="8" w:space="0" w:color="73BCE8" w:themeColor="accent1" w:themeTint="BF"/>
      </w:tblBorders>
    </w:tblPr>
    <w:tblStylePr w:type="firstRow">
      <w:pPr>
        <w:spacing w:before="0" w:after="0" w:line="240" w:lineRule="auto"/>
      </w:pPr>
      <w:rPr>
        <w:b/>
        <w:bCs/>
        <w:color w:val="FFFFFF" w:themeColor="background1"/>
      </w:rPr>
      <w:tblPr/>
      <w:tcPr>
        <w:tcBorders>
          <w:top w:val="single" w:sz="8" w:space="0" w:color="73BCE8" w:themeColor="accent1" w:themeTint="BF"/>
          <w:left w:val="single" w:sz="8" w:space="0" w:color="73BCE8" w:themeColor="accent1" w:themeTint="BF"/>
          <w:bottom w:val="single" w:sz="8" w:space="0" w:color="73BCE8" w:themeColor="accent1" w:themeTint="BF"/>
          <w:right w:val="single" w:sz="8" w:space="0" w:color="73BCE8" w:themeColor="accent1" w:themeTint="BF"/>
          <w:insideH w:val="nil"/>
          <w:insideV w:val="nil"/>
        </w:tcBorders>
        <w:shd w:val="clear" w:color="auto" w:fill="45A7E1" w:themeFill="accent1"/>
      </w:tcPr>
    </w:tblStylePr>
    <w:tblStylePr w:type="lastRow">
      <w:pPr>
        <w:spacing w:before="0" w:after="0" w:line="240" w:lineRule="auto"/>
      </w:pPr>
      <w:rPr>
        <w:b/>
        <w:bCs/>
      </w:rPr>
      <w:tblPr/>
      <w:tcPr>
        <w:tcBorders>
          <w:top w:val="double" w:sz="6" w:space="0" w:color="73BCE8" w:themeColor="accent1" w:themeTint="BF"/>
          <w:left w:val="single" w:sz="8" w:space="0" w:color="73BCE8" w:themeColor="accent1" w:themeTint="BF"/>
          <w:bottom w:val="single" w:sz="8" w:space="0" w:color="73BCE8" w:themeColor="accent1" w:themeTint="BF"/>
          <w:right w:val="single" w:sz="8" w:space="0" w:color="73BCE8"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E9F7" w:themeFill="accent1" w:themeFillTint="3F"/>
      </w:tcPr>
    </w:tblStylePr>
    <w:tblStylePr w:type="band1Horz">
      <w:tblPr/>
      <w:tcPr>
        <w:tcBorders>
          <w:insideH w:val="nil"/>
          <w:insideV w:val="nil"/>
        </w:tcBorders>
        <w:shd w:val="clear" w:color="auto" w:fill="D0E9F7" w:themeFill="accent1" w:themeFillTint="3F"/>
      </w:tcPr>
    </w:tblStylePr>
    <w:tblStylePr w:type="band2Horz">
      <w:tblPr/>
      <w:tcPr>
        <w:tcBorders>
          <w:insideH w:val="nil"/>
          <w:insideV w:val="nil"/>
        </w:tcBorders>
      </w:tcPr>
    </w:tblStylePr>
  </w:style>
  <w:style w:type="table" w:customStyle="1" w:styleId="LightShading-Accent111">
    <w:name w:val="Light Shading - Accent 111"/>
    <w:basedOn w:val="TableNormal"/>
    <w:uiPriority w:val="60"/>
    <w:rsid w:val="00263901"/>
    <w:rPr>
      <w:color w:val="1E82BD" w:themeColor="accent1" w:themeShade="BF"/>
      <w:sz w:val="22"/>
      <w:szCs w:val="22"/>
    </w:rPr>
    <w:tblPr>
      <w:tblStyleRowBandSize w:val="1"/>
      <w:tblStyleColBandSize w:val="1"/>
      <w:tblBorders>
        <w:top w:val="single" w:sz="8" w:space="0" w:color="45A7E1" w:themeColor="accent1"/>
        <w:bottom w:val="single" w:sz="8" w:space="0" w:color="45A7E1" w:themeColor="accent1"/>
      </w:tblBorders>
    </w:tblPr>
    <w:tblStylePr w:type="firstRow">
      <w:pPr>
        <w:spacing w:before="0" w:after="0" w:line="240" w:lineRule="auto"/>
      </w:pPr>
      <w:rPr>
        <w:b/>
        <w:bCs/>
      </w:rPr>
      <w:tblPr/>
      <w:tcPr>
        <w:tcBorders>
          <w:top w:val="single" w:sz="8" w:space="0" w:color="45A7E1" w:themeColor="accent1"/>
          <w:left w:val="nil"/>
          <w:bottom w:val="single" w:sz="8" w:space="0" w:color="45A7E1" w:themeColor="accent1"/>
          <w:right w:val="nil"/>
          <w:insideH w:val="nil"/>
          <w:insideV w:val="nil"/>
        </w:tcBorders>
      </w:tcPr>
    </w:tblStylePr>
    <w:tblStylePr w:type="lastRow">
      <w:pPr>
        <w:spacing w:before="0" w:after="0" w:line="240" w:lineRule="auto"/>
      </w:pPr>
      <w:rPr>
        <w:b/>
        <w:bCs/>
      </w:rPr>
      <w:tblPr/>
      <w:tcPr>
        <w:tcBorders>
          <w:top w:val="single" w:sz="8" w:space="0" w:color="45A7E1" w:themeColor="accent1"/>
          <w:left w:val="nil"/>
          <w:bottom w:val="single" w:sz="8" w:space="0" w:color="45A7E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9F7" w:themeFill="accent1" w:themeFillTint="3F"/>
      </w:tcPr>
    </w:tblStylePr>
    <w:tblStylePr w:type="band1Horz">
      <w:tblPr/>
      <w:tcPr>
        <w:tcBorders>
          <w:left w:val="nil"/>
          <w:right w:val="nil"/>
          <w:insideH w:val="nil"/>
          <w:insideV w:val="nil"/>
        </w:tcBorders>
        <w:shd w:val="clear" w:color="auto" w:fill="D0E9F7" w:themeFill="accent1" w:themeFillTint="3F"/>
      </w:tcPr>
    </w:tblStylePr>
  </w:style>
  <w:style w:type="table" w:customStyle="1" w:styleId="LightList-Accent111">
    <w:name w:val="Light List - Accent 111"/>
    <w:basedOn w:val="TableNormal"/>
    <w:uiPriority w:val="61"/>
    <w:rsid w:val="00263901"/>
    <w:rPr>
      <w:sz w:val="22"/>
      <w:szCs w:val="22"/>
    </w:rPr>
    <w:tblPr>
      <w:tblStyleRowBandSize w:val="1"/>
      <w:tblStyleColBandSize w:val="1"/>
      <w:tblBorders>
        <w:top w:val="single" w:sz="8" w:space="0" w:color="45A7E1" w:themeColor="accent1"/>
        <w:left w:val="single" w:sz="8" w:space="0" w:color="45A7E1" w:themeColor="accent1"/>
        <w:bottom w:val="single" w:sz="8" w:space="0" w:color="45A7E1" w:themeColor="accent1"/>
        <w:right w:val="single" w:sz="8" w:space="0" w:color="45A7E1" w:themeColor="accent1"/>
      </w:tblBorders>
    </w:tblPr>
    <w:tblStylePr w:type="firstRow">
      <w:pPr>
        <w:spacing w:before="0" w:after="0" w:line="240" w:lineRule="auto"/>
      </w:pPr>
      <w:rPr>
        <w:b/>
        <w:bCs/>
        <w:color w:val="FFFFFF" w:themeColor="background1"/>
      </w:rPr>
      <w:tblPr/>
      <w:tcPr>
        <w:shd w:val="clear" w:color="auto" w:fill="45A7E1" w:themeFill="accent1"/>
      </w:tcPr>
    </w:tblStylePr>
    <w:tblStylePr w:type="lastRow">
      <w:pPr>
        <w:spacing w:before="0" w:after="0" w:line="240" w:lineRule="auto"/>
      </w:pPr>
      <w:rPr>
        <w:b/>
        <w:bCs/>
      </w:rPr>
      <w:tblPr/>
      <w:tcPr>
        <w:tcBorders>
          <w:top w:val="double" w:sz="6" w:space="0" w:color="45A7E1" w:themeColor="accent1"/>
          <w:left w:val="single" w:sz="8" w:space="0" w:color="45A7E1" w:themeColor="accent1"/>
          <w:bottom w:val="single" w:sz="8" w:space="0" w:color="45A7E1" w:themeColor="accent1"/>
          <w:right w:val="single" w:sz="8" w:space="0" w:color="45A7E1" w:themeColor="accent1"/>
        </w:tcBorders>
      </w:tcPr>
    </w:tblStylePr>
    <w:tblStylePr w:type="firstCol">
      <w:rPr>
        <w:b/>
        <w:bCs/>
      </w:rPr>
    </w:tblStylePr>
    <w:tblStylePr w:type="lastCol">
      <w:rPr>
        <w:b/>
        <w:bCs/>
      </w:rPr>
    </w:tblStylePr>
    <w:tblStylePr w:type="band1Vert">
      <w:tblPr/>
      <w:tcPr>
        <w:tcBorders>
          <w:top w:val="single" w:sz="8" w:space="0" w:color="45A7E1" w:themeColor="accent1"/>
          <w:left w:val="single" w:sz="8" w:space="0" w:color="45A7E1" w:themeColor="accent1"/>
          <w:bottom w:val="single" w:sz="8" w:space="0" w:color="45A7E1" w:themeColor="accent1"/>
          <w:right w:val="single" w:sz="8" w:space="0" w:color="45A7E1" w:themeColor="accent1"/>
        </w:tcBorders>
      </w:tcPr>
    </w:tblStylePr>
    <w:tblStylePr w:type="band1Horz">
      <w:tblPr/>
      <w:tcPr>
        <w:tcBorders>
          <w:top w:val="single" w:sz="8" w:space="0" w:color="45A7E1" w:themeColor="accent1"/>
          <w:left w:val="single" w:sz="8" w:space="0" w:color="45A7E1" w:themeColor="accent1"/>
          <w:bottom w:val="single" w:sz="8" w:space="0" w:color="45A7E1" w:themeColor="accent1"/>
          <w:right w:val="single" w:sz="8" w:space="0" w:color="45A7E1" w:themeColor="accent1"/>
        </w:tcBorders>
      </w:tcPr>
    </w:tblStylePr>
  </w:style>
  <w:style w:type="table" w:customStyle="1" w:styleId="MediumList1-Accent111">
    <w:name w:val="Medium List 1 - Accent 111"/>
    <w:basedOn w:val="TableNormal"/>
    <w:uiPriority w:val="65"/>
    <w:rsid w:val="00263901"/>
    <w:rPr>
      <w:color w:val="000000" w:themeColor="text1"/>
      <w:sz w:val="22"/>
      <w:szCs w:val="22"/>
    </w:rPr>
    <w:tblPr>
      <w:tblStyleRowBandSize w:val="1"/>
      <w:tblStyleColBandSize w:val="1"/>
      <w:tblBorders>
        <w:top w:val="single" w:sz="8" w:space="0" w:color="45A7E1" w:themeColor="accent1"/>
        <w:bottom w:val="single" w:sz="8" w:space="0" w:color="45A7E1" w:themeColor="accent1"/>
      </w:tblBorders>
    </w:tblPr>
    <w:tblStylePr w:type="firstRow">
      <w:rPr>
        <w:rFonts w:asciiTheme="majorHAnsi" w:eastAsiaTheme="majorEastAsia" w:hAnsiTheme="majorHAnsi" w:cstheme="majorBidi"/>
      </w:rPr>
      <w:tblPr/>
      <w:tcPr>
        <w:tcBorders>
          <w:top w:val="nil"/>
          <w:bottom w:val="single" w:sz="8" w:space="0" w:color="45A7E1" w:themeColor="accent1"/>
        </w:tcBorders>
      </w:tcPr>
    </w:tblStylePr>
    <w:tblStylePr w:type="lastRow">
      <w:rPr>
        <w:b/>
        <w:bCs/>
        <w:color w:val="0A1F50" w:themeColor="text2"/>
      </w:rPr>
      <w:tblPr/>
      <w:tcPr>
        <w:tcBorders>
          <w:top w:val="single" w:sz="8" w:space="0" w:color="45A7E1" w:themeColor="accent1"/>
          <w:bottom w:val="single" w:sz="8" w:space="0" w:color="45A7E1" w:themeColor="accent1"/>
        </w:tcBorders>
      </w:tcPr>
    </w:tblStylePr>
    <w:tblStylePr w:type="firstCol">
      <w:rPr>
        <w:b/>
        <w:bCs/>
      </w:rPr>
    </w:tblStylePr>
    <w:tblStylePr w:type="lastCol">
      <w:rPr>
        <w:b/>
        <w:bCs/>
      </w:rPr>
      <w:tblPr/>
      <w:tcPr>
        <w:tcBorders>
          <w:top w:val="single" w:sz="8" w:space="0" w:color="45A7E1" w:themeColor="accent1"/>
          <w:bottom w:val="single" w:sz="8" w:space="0" w:color="45A7E1" w:themeColor="accent1"/>
        </w:tcBorders>
      </w:tcPr>
    </w:tblStylePr>
    <w:tblStylePr w:type="band1Vert">
      <w:tblPr/>
      <w:tcPr>
        <w:shd w:val="clear" w:color="auto" w:fill="D0E9F7" w:themeFill="accent1" w:themeFillTint="3F"/>
      </w:tcPr>
    </w:tblStylePr>
    <w:tblStylePr w:type="band1Horz">
      <w:tblPr/>
      <w:tcPr>
        <w:shd w:val="clear" w:color="auto" w:fill="D0E9F7" w:themeFill="accent1" w:themeFillTint="3F"/>
      </w:tcPr>
    </w:tblStylePr>
  </w:style>
  <w:style w:type="table" w:customStyle="1" w:styleId="LightList11">
    <w:name w:val="Light List11"/>
    <w:basedOn w:val="TableNormal"/>
    <w:uiPriority w:val="61"/>
    <w:unhideWhenUsed/>
    <w:rsid w:val="00263901"/>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11">
    <w:name w:val="Medium Shading 111"/>
    <w:basedOn w:val="TableNormal"/>
    <w:uiPriority w:val="63"/>
    <w:rsid w:val="00263901"/>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Grid-Accent111">
    <w:name w:val="Light Grid - Accent 111"/>
    <w:basedOn w:val="TableNormal"/>
    <w:uiPriority w:val="62"/>
    <w:rsid w:val="00263901"/>
    <w:rPr>
      <w:sz w:val="22"/>
      <w:szCs w:val="22"/>
      <w:lang w:val="en-GB"/>
    </w:rPr>
    <w:tblPr>
      <w:tblStyleRowBandSize w:val="1"/>
      <w:tblStyleColBandSize w:val="1"/>
      <w:tblBorders>
        <w:top w:val="single" w:sz="8" w:space="0" w:color="45A7E1" w:themeColor="accent1"/>
        <w:left w:val="single" w:sz="8" w:space="0" w:color="45A7E1" w:themeColor="accent1"/>
        <w:bottom w:val="single" w:sz="8" w:space="0" w:color="45A7E1" w:themeColor="accent1"/>
        <w:right w:val="single" w:sz="8" w:space="0" w:color="45A7E1" w:themeColor="accent1"/>
        <w:insideH w:val="single" w:sz="8" w:space="0" w:color="45A7E1" w:themeColor="accent1"/>
        <w:insideV w:val="single" w:sz="8" w:space="0" w:color="45A7E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A7E1" w:themeColor="accent1"/>
          <w:left w:val="single" w:sz="8" w:space="0" w:color="45A7E1" w:themeColor="accent1"/>
          <w:bottom w:val="single" w:sz="18" w:space="0" w:color="45A7E1" w:themeColor="accent1"/>
          <w:right w:val="single" w:sz="8" w:space="0" w:color="45A7E1" w:themeColor="accent1"/>
          <w:insideH w:val="nil"/>
          <w:insideV w:val="single" w:sz="8" w:space="0" w:color="45A7E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A7E1" w:themeColor="accent1"/>
          <w:left w:val="single" w:sz="8" w:space="0" w:color="45A7E1" w:themeColor="accent1"/>
          <w:bottom w:val="single" w:sz="8" w:space="0" w:color="45A7E1" w:themeColor="accent1"/>
          <w:right w:val="single" w:sz="8" w:space="0" w:color="45A7E1" w:themeColor="accent1"/>
          <w:insideH w:val="nil"/>
          <w:insideV w:val="single" w:sz="8" w:space="0" w:color="45A7E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A7E1" w:themeColor="accent1"/>
          <w:left w:val="single" w:sz="8" w:space="0" w:color="45A7E1" w:themeColor="accent1"/>
          <w:bottom w:val="single" w:sz="8" w:space="0" w:color="45A7E1" w:themeColor="accent1"/>
          <w:right w:val="single" w:sz="8" w:space="0" w:color="45A7E1" w:themeColor="accent1"/>
        </w:tcBorders>
      </w:tcPr>
    </w:tblStylePr>
    <w:tblStylePr w:type="band1Vert">
      <w:tblPr/>
      <w:tcPr>
        <w:tcBorders>
          <w:top w:val="single" w:sz="8" w:space="0" w:color="45A7E1" w:themeColor="accent1"/>
          <w:left w:val="single" w:sz="8" w:space="0" w:color="45A7E1" w:themeColor="accent1"/>
          <w:bottom w:val="single" w:sz="8" w:space="0" w:color="45A7E1" w:themeColor="accent1"/>
          <w:right w:val="single" w:sz="8" w:space="0" w:color="45A7E1" w:themeColor="accent1"/>
        </w:tcBorders>
        <w:shd w:val="clear" w:color="auto" w:fill="D0E9F7" w:themeFill="accent1" w:themeFillTint="3F"/>
      </w:tcPr>
    </w:tblStylePr>
    <w:tblStylePr w:type="band1Horz">
      <w:tblPr/>
      <w:tcPr>
        <w:tcBorders>
          <w:top w:val="single" w:sz="8" w:space="0" w:color="45A7E1" w:themeColor="accent1"/>
          <w:left w:val="single" w:sz="8" w:space="0" w:color="45A7E1" w:themeColor="accent1"/>
          <w:bottom w:val="single" w:sz="8" w:space="0" w:color="45A7E1" w:themeColor="accent1"/>
          <w:right w:val="single" w:sz="8" w:space="0" w:color="45A7E1" w:themeColor="accent1"/>
          <w:insideV w:val="single" w:sz="8" w:space="0" w:color="45A7E1" w:themeColor="accent1"/>
        </w:tcBorders>
        <w:shd w:val="clear" w:color="auto" w:fill="D0E9F7" w:themeFill="accent1" w:themeFillTint="3F"/>
      </w:tcPr>
    </w:tblStylePr>
    <w:tblStylePr w:type="band2Horz">
      <w:tblPr/>
      <w:tcPr>
        <w:tcBorders>
          <w:top w:val="single" w:sz="8" w:space="0" w:color="45A7E1" w:themeColor="accent1"/>
          <w:left w:val="single" w:sz="8" w:space="0" w:color="45A7E1" w:themeColor="accent1"/>
          <w:bottom w:val="single" w:sz="8" w:space="0" w:color="45A7E1" w:themeColor="accent1"/>
          <w:right w:val="single" w:sz="8" w:space="0" w:color="45A7E1" w:themeColor="accent1"/>
          <w:insideV w:val="single" w:sz="8" w:space="0" w:color="45A7E1" w:themeColor="accent1"/>
        </w:tcBorders>
      </w:tcPr>
    </w:tblStylePr>
  </w:style>
  <w:style w:type="table" w:styleId="LightShading">
    <w:name w:val="Light Shading"/>
    <w:basedOn w:val="TableNormal"/>
    <w:uiPriority w:val="60"/>
    <w:rsid w:val="005F5304"/>
    <w:rPr>
      <w:color w:val="000000" w:themeColor="text1" w:themeShade="BF"/>
      <w:sz w:val="22"/>
      <w:szCs w:val="22"/>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1">
    <w:name w:val="Medium Shading 1 Accent 1"/>
    <w:basedOn w:val="TableNormal"/>
    <w:uiPriority w:val="63"/>
    <w:rsid w:val="005F5304"/>
    <w:rPr>
      <w:rFonts w:ascii="Arial" w:hAnsi="Arial"/>
      <w:sz w:val="22"/>
      <w:szCs w:val="22"/>
      <w:lang w:val="en-GB"/>
    </w:rPr>
    <w:tblPr>
      <w:tblStyleRowBandSize w:val="1"/>
      <w:tblStyleColBandSize w:val="1"/>
      <w:tblBorders>
        <w:top w:val="single" w:sz="8" w:space="0" w:color="73BCE8" w:themeColor="accent1" w:themeTint="BF"/>
        <w:left w:val="single" w:sz="8" w:space="0" w:color="73BCE8" w:themeColor="accent1" w:themeTint="BF"/>
        <w:bottom w:val="single" w:sz="8" w:space="0" w:color="73BCE8" w:themeColor="accent1" w:themeTint="BF"/>
        <w:right w:val="single" w:sz="8" w:space="0" w:color="73BCE8" w:themeColor="accent1" w:themeTint="BF"/>
        <w:insideH w:val="single" w:sz="8" w:space="0" w:color="73BCE8" w:themeColor="accent1" w:themeTint="BF"/>
      </w:tblBorders>
    </w:tblPr>
    <w:tblStylePr w:type="firstRow">
      <w:pPr>
        <w:spacing w:before="0" w:after="0" w:line="240" w:lineRule="auto"/>
      </w:pPr>
      <w:rPr>
        <w:b/>
        <w:bCs/>
        <w:color w:val="FFFFFF" w:themeColor="background1"/>
      </w:rPr>
      <w:tblPr/>
      <w:tcPr>
        <w:tcBorders>
          <w:top w:val="single" w:sz="8" w:space="0" w:color="73BCE8" w:themeColor="accent1" w:themeTint="BF"/>
          <w:left w:val="single" w:sz="8" w:space="0" w:color="73BCE8" w:themeColor="accent1" w:themeTint="BF"/>
          <w:bottom w:val="single" w:sz="8" w:space="0" w:color="73BCE8" w:themeColor="accent1" w:themeTint="BF"/>
          <w:right w:val="single" w:sz="8" w:space="0" w:color="73BCE8" w:themeColor="accent1" w:themeTint="BF"/>
          <w:insideH w:val="nil"/>
          <w:insideV w:val="nil"/>
        </w:tcBorders>
        <w:shd w:val="clear" w:color="auto" w:fill="45A7E1" w:themeFill="accent1"/>
      </w:tcPr>
    </w:tblStylePr>
    <w:tblStylePr w:type="lastRow">
      <w:pPr>
        <w:spacing w:before="0" w:after="0" w:line="240" w:lineRule="auto"/>
      </w:pPr>
      <w:rPr>
        <w:b/>
        <w:bCs/>
      </w:rPr>
      <w:tblPr/>
      <w:tcPr>
        <w:tcBorders>
          <w:top w:val="double" w:sz="6" w:space="0" w:color="73BCE8" w:themeColor="accent1" w:themeTint="BF"/>
          <w:left w:val="single" w:sz="8" w:space="0" w:color="73BCE8" w:themeColor="accent1" w:themeTint="BF"/>
          <w:bottom w:val="single" w:sz="8" w:space="0" w:color="73BCE8" w:themeColor="accent1" w:themeTint="BF"/>
          <w:right w:val="single" w:sz="8" w:space="0" w:color="73BCE8"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E9F7" w:themeFill="accent1" w:themeFillTint="3F"/>
      </w:tcPr>
    </w:tblStylePr>
    <w:tblStylePr w:type="band1Horz">
      <w:tblPr/>
      <w:tcPr>
        <w:tcBorders>
          <w:insideH w:val="nil"/>
          <w:insideV w:val="nil"/>
        </w:tcBorders>
        <w:shd w:val="clear" w:color="auto" w:fill="D0E9F7"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5F5304"/>
    <w:rPr>
      <w:color w:val="1E82BD" w:themeColor="accent1" w:themeShade="BF"/>
      <w:sz w:val="22"/>
      <w:szCs w:val="22"/>
    </w:rPr>
    <w:tblPr>
      <w:tblStyleRowBandSize w:val="1"/>
      <w:tblStyleColBandSize w:val="1"/>
      <w:tblBorders>
        <w:top w:val="single" w:sz="8" w:space="0" w:color="45A7E1" w:themeColor="accent1"/>
        <w:bottom w:val="single" w:sz="8" w:space="0" w:color="45A7E1" w:themeColor="accent1"/>
      </w:tblBorders>
    </w:tblPr>
    <w:tblStylePr w:type="firstRow">
      <w:pPr>
        <w:spacing w:before="0" w:after="0" w:line="240" w:lineRule="auto"/>
      </w:pPr>
      <w:rPr>
        <w:b/>
        <w:bCs/>
      </w:rPr>
      <w:tblPr/>
      <w:tcPr>
        <w:tcBorders>
          <w:top w:val="single" w:sz="8" w:space="0" w:color="45A7E1" w:themeColor="accent1"/>
          <w:left w:val="nil"/>
          <w:bottom w:val="single" w:sz="8" w:space="0" w:color="45A7E1" w:themeColor="accent1"/>
          <w:right w:val="nil"/>
          <w:insideH w:val="nil"/>
          <w:insideV w:val="nil"/>
        </w:tcBorders>
      </w:tcPr>
    </w:tblStylePr>
    <w:tblStylePr w:type="lastRow">
      <w:pPr>
        <w:spacing w:before="0" w:after="0" w:line="240" w:lineRule="auto"/>
      </w:pPr>
      <w:rPr>
        <w:b/>
        <w:bCs/>
      </w:rPr>
      <w:tblPr/>
      <w:tcPr>
        <w:tcBorders>
          <w:top w:val="single" w:sz="8" w:space="0" w:color="45A7E1" w:themeColor="accent1"/>
          <w:left w:val="nil"/>
          <w:bottom w:val="single" w:sz="8" w:space="0" w:color="45A7E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9F7" w:themeFill="accent1" w:themeFillTint="3F"/>
      </w:tcPr>
    </w:tblStylePr>
    <w:tblStylePr w:type="band1Horz">
      <w:tblPr/>
      <w:tcPr>
        <w:tcBorders>
          <w:left w:val="nil"/>
          <w:right w:val="nil"/>
          <w:insideH w:val="nil"/>
          <w:insideV w:val="nil"/>
        </w:tcBorders>
        <w:shd w:val="clear" w:color="auto" w:fill="D0E9F7" w:themeFill="accent1" w:themeFillTint="3F"/>
      </w:tcPr>
    </w:tblStylePr>
  </w:style>
  <w:style w:type="table" w:styleId="LightList-Accent1">
    <w:name w:val="Light List Accent 1"/>
    <w:basedOn w:val="TableNormal"/>
    <w:uiPriority w:val="61"/>
    <w:rsid w:val="005F5304"/>
    <w:rPr>
      <w:sz w:val="22"/>
      <w:szCs w:val="22"/>
    </w:rPr>
    <w:tblPr>
      <w:tblStyleRowBandSize w:val="1"/>
      <w:tblStyleColBandSize w:val="1"/>
      <w:tblBorders>
        <w:top w:val="single" w:sz="8" w:space="0" w:color="45A7E1" w:themeColor="accent1"/>
        <w:left w:val="single" w:sz="8" w:space="0" w:color="45A7E1" w:themeColor="accent1"/>
        <w:bottom w:val="single" w:sz="8" w:space="0" w:color="45A7E1" w:themeColor="accent1"/>
        <w:right w:val="single" w:sz="8" w:space="0" w:color="45A7E1" w:themeColor="accent1"/>
      </w:tblBorders>
    </w:tblPr>
    <w:tblStylePr w:type="firstRow">
      <w:pPr>
        <w:spacing w:before="0" w:after="0" w:line="240" w:lineRule="auto"/>
      </w:pPr>
      <w:rPr>
        <w:b/>
        <w:bCs/>
        <w:color w:val="FFFFFF" w:themeColor="background1"/>
      </w:rPr>
      <w:tblPr/>
      <w:tcPr>
        <w:shd w:val="clear" w:color="auto" w:fill="45A7E1" w:themeFill="accent1"/>
      </w:tcPr>
    </w:tblStylePr>
    <w:tblStylePr w:type="lastRow">
      <w:pPr>
        <w:spacing w:before="0" w:after="0" w:line="240" w:lineRule="auto"/>
      </w:pPr>
      <w:rPr>
        <w:b/>
        <w:bCs/>
      </w:rPr>
      <w:tblPr/>
      <w:tcPr>
        <w:tcBorders>
          <w:top w:val="double" w:sz="6" w:space="0" w:color="45A7E1" w:themeColor="accent1"/>
          <w:left w:val="single" w:sz="8" w:space="0" w:color="45A7E1" w:themeColor="accent1"/>
          <w:bottom w:val="single" w:sz="8" w:space="0" w:color="45A7E1" w:themeColor="accent1"/>
          <w:right w:val="single" w:sz="8" w:space="0" w:color="45A7E1" w:themeColor="accent1"/>
        </w:tcBorders>
      </w:tcPr>
    </w:tblStylePr>
    <w:tblStylePr w:type="firstCol">
      <w:rPr>
        <w:b/>
        <w:bCs/>
      </w:rPr>
    </w:tblStylePr>
    <w:tblStylePr w:type="lastCol">
      <w:rPr>
        <w:b/>
        <w:bCs/>
      </w:rPr>
    </w:tblStylePr>
    <w:tblStylePr w:type="band1Vert">
      <w:tblPr/>
      <w:tcPr>
        <w:tcBorders>
          <w:top w:val="single" w:sz="8" w:space="0" w:color="45A7E1" w:themeColor="accent1"/>
          <w:left w:val="single" w:sz="8" w:space="0" w:color="45A7E1" w:themeColor="accent1"/>
          <w:bottom w:val="single" w:sz="8" w:space="0" w:color="45A7E1" w:themeColor="accent1"/>
          <w:right w:val="single" w:sz="8" w:space="0" w:color="45A7E1" w:themeColor="accent1"/>
        </w:tcBorders>
      </w:tcPr>
    </w:tblStylePr>
    <w:tblStylePr w:type="band1Horz">
      <w:tblPr/>
      <w:tcPr>
        <w:tcBorders>
          <w:top w:val="single" w:sz="8" w:space="0" w:color="45A7E1" w:themeColor="accent1"/>
          <w:left w:val="single" w:sz="8" w:space="0" w:color="45A7E1" w:themeColor="accent1"/>
          <w:bottom w:val="single" w:sz="8" w:space="0" w:color="45A7E1" w:themeColor="accent1"/>
          <w:right w:val="single" w:sz="8" w:space="0" w:color="45A7E1" w:themeColor="accent1"/>
        </w:tcBorders>
      </w:tcPr>
    </w:tblStylePr>
  </w:style>
  <w:style w:type="table" w:styleId="MediumList1-Accent1">
    <w:name w:val="Medium List 1 Accent 1"/>
    <w:basedOn w:val="TableNormal"/>
    <w:uiPriority w:val="65"/>
    <w:rsid w:val="005F5304"/>
    <w:rPr>
      <w:color w:val="000000" w:themeColor="text1"/>
      <w:sz w:val="22"/>
      <w:szCs w:val="22"/>
    </w:rPr>
    <w:tblPr>
      <w:tblStyleRowBandSize w:val="1"/>
      <w:tblStyleColBandSize w:val="1"/>
      <w:tblBorders>
        <w:top w:val="single" w:sz="8" w:space="0" w:color="45A7E1" w:themeColor="accent1"/>
        <w:bottom w:val="single" w:sz="8" w:space="0" w:color="45A7E1" w:themeColor="accent1"/>
      </w:tblBorders>
    </w:tblPr>
    <w:tblStylePr w:type="firstRow">
      <w:rPr>
        <w:rFonts w:asciiTheme="majorHAnsi" w:eastAsiaTheme="majorEastAsia" w:hAnsiTheme="majorHAnsi" w:cstheme="majorBidi"/>
      </w:rPr>
      <w:tblPr/>
      <w:tcPr>
        <w:tcBorders>
          <w:top w:val="nil"/>
          <w:bottom w:val="single" w:sz="8" w:space="0" w:color="45A7E1" w:themeColor="accent1"/>
        </w:tcBorders>
      </w:tcPr>
    </w:tblStylePr>
    <w:tblStylePr w:type="lastRow">
      <w:rPr>
        <w:b/>
        <w:bCs/>
        <w:color w:val="0A1F50" w:themeColor="text2"/>
      </w:rPr>
      <w:tblPr/>
      <w:tcPr>
        <w:tcBorders>
          <w:top w:val="single" w:sz="8" w:space="0" w:color="45A7E1" w:themeColor="accent1"/>
          <w:bottom w:val="single" w:sz="8" w:space="0" w:color="45A7E1" w:themeColor="accent1"/>
        </w:tcBorders>
      </w:tcPr>
    </w:tblStylePr>
    <w:tblStylePr w:type="firstCol">
      <w:rPr>
        <w:b/>
        <w:bCs/>
      </w:rPr>
    </w:tblStylePr>
    <w:tblStylePr w:type="lastCol">
      <w:rPr>
        <w:b/>
        <w:bCs/>
      </w:rPr>
      <w:tblPr/>
      <w:tcPr>
        <w:tcBorders>
          <w:top w:val="single" w:sz="8" w:space="0" w:color="45A7E1" w:themeColor="accent1"/>
          <w:bottom w:val="single" w:sz="8" w:space="0" w:color="45A7E1" w:themeColor="accent1"/>
        </w:tcBorders>
      </w:tcPr>
    </w:tblStylePr>
    <w:tblStylePr w:type="band1Vert">
      <w:tblPr/>
      <w:tcPr>
        <w:shd w:val="clear" w:color="auto" w:fill="D0E9F7" w:themeFill="accent1" w:themeFillTint="3F"/>
      </w:tcPr>
    </w:tblStylePr>
    <w:tblStylePr w:type="band1Horz">
      <w:tblPr/>
      <w:tcPr>
        <w:shd w:val="clear" w:color="auto" w:fill="D0E9F7" w:themeFill="accent1" w:themeFillTint="3F"/>
      </w:tcPr>
    </w:tblStylePr>
  </w:style>
  <w:style w:type="table" w:styleId="LightList">
    <w:name w:val="Light List"/>
    <w:basedOn w:val="TableNormal"/>
    <w:uiPriority w:val="61"/>
    <w:unhideWhenUsed/>
    <w:rsid w:val="005F5304"/>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5F5304"/>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5F5304"/>
    <w:rPr>
      <w:sz w:val="22"/>
      <w:szCs w:val="22"/>
      <w:lang w:val="en-GB"/>
    </w:rPr>
    <w:tblPr>
      <w:tblStyleRowBandSize w:val="1"/>
      <w:tblStyleColBandSize w:val="1"/>
      <w:tblBorders>
        <w:top w:val="single" w:sz="8" w:space="0" w:color="45A7E1" w:themeColor="accent1"/>
        <w:left w:val="single" w:sz="8" w:space="0" w:color="45A7E1" w:themeColor="accent1"/>
        <w:bottom w:val="single" w:sz="8" w:space="0" w:color="45A7E1" w:themeColor="accent1"/>
        <w:right w:val="single" w:sz="8" w:space="0" w:color="45A7E1" w:themeColor="accent1"/>
        <w:insideH w:val="single" w:sz="8" w:space="0" w:color="45A7E1" w:themeColor="accent1"/>
        <w:insideV w:val="single" w:sz="8" w:space="0" w:color="45A7E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A7E1" w:themeColor="accent1"/>
          <w:left w:val="single" w:sz="8" w:space="0" w:color="45A7E1" w:themeColor="accent1"/>
          <w:bottom w:val="single" w:sz="18" w:space="0" w:color="45A7E1" w:themeColor="accent1"/>
          <w:right w:val="single" w:sz="8" w:space="0" w:color="45A7E1" w:themeColor="accent1"/>
          <w:insideH w:val="nil"/>
          <w:insideV w:val="single" w:sz="8" w:space="0" w:color="45A7E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A7E1" w:themeColor="accent1"/>
          <w:left w:val="single" w:sz="8" w:space="0" w:color="45A7E1" w:themeColor="accent1"/>
          <w:bottom w:val="single" w:sz="8" w:space="0" w:color="45A7E1" w:themeColor="accent1"/>
          <w:right w:val="single" w:sz="8" w:space="0" w:color="45A7E1" w:themeColor="accent1"/>
          <w:insideH w:val="nil"/>
          <w:insideV w:val="single" w:sz="8" w:space="0" w:color="45A7E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A7E1" w:themeColor="accent1"/>
          <w:left w:val="single" w:sz="8" w:space="0" w:color="45A7E1" w:themeColor="accent1"/>
          <w:bottom w:val="single" w:sz="8" w:space="0" w:color="45A7E1" w:themeColor="accent1"/>
          <w:right w:val="single" w:sz="8" w:space="0" w:color="45A7E1" w:themeColor="accent1"/>
        </w:tcBorders>
      </w:tcPr>
    </w:tblStylePr>
    <w:tblStylePr w:type="band1Vert">
      <w:tblPr/>
      <w:tcPr>
        <w:tcBorders>
          <w:top w:val="single" w:sz="8" w:space="0" w:color="45A7E1" w:themeColor="accent1"/>
          <w:left w:val="single" w:sz="8" w:space="0" w:color="45A7E1" w:themeColor="accent1"/>
          <w:bottom w:val="single" w:sz="8" w:space="0" w:color="45A7E1" w:themeColor="accent1"/>
          <w:right w:val="single" w:sz="8" w:space="0" w:color="45A7E1" w:themeColor="accent1"/>
        </w:tcBorders>
        <w:shd w:val="clear" w:color="auto" w:fill="D0E9F7" w:themeFill="accent1" w:themeFillTint="3F"/>
      </w:tcPr>
    </w:tblStylePr>
    <w:tblStylePr w:type="band1Horz">
      <w:tblPr/>
      <w:tcPr>
        <w:tcBorders>
          <w:top w:val="single" w:sz="8" w:space="0" w:color="45A7E1" w:themeColor="accent1"/>
          <w:left w:val="single" w:sz="8" w:space="0" w:color="45A7E1" w:themeColor="accent1"/>
          <w:bottom w:val="single" w:sz="8" w:space="0" w:color="45A7E1" w:themeColor="accent1"/>
          <w:right w:val="single" w:sz="8" w:space="0" w:color="45A7E1" w:themeColor="accent1"/>
          <w:insideV w:val="single" w:sz="8" w:space="0" w:color="45A7E1" w:themeColor="accent1"/>
        </w:tcBorders>
        <w:shd w:val="clear" w:color="auto" w:fill="D0E9F7" w:themeFill="accent1" w:themeFillTint="3F"/>
      </w:tcPr>
    </w:tblStylePr>
    <w:tblStylePr w:type="band2Horz">
      <w:tblPr/>
      <w:tcPr>
        <w:tcBorders>
          <w:top w:val="single" w:sz="8" w:space="0" w:color="45A7E1" w:themeColor="accent1"/>
          <w:left w:val="single" w:sz="8" w:space="0" w:color="45A7E1" w:themeColor="accent1"/>
          <w:bottom w:val="single" w:sz="8" w:space="0" w:color="45A7E1" w:themeColor="accent1"/>
          <w:right w:val="single" w:sz="8" w:space="0" w:color="45A7E1" w:themeColor="accent1"/>
          <w:insideV w:val="single" w:sz="8" w:space="0" w:color="45A7E1" w:themeColor="accent1"/>
        </w:tcBorders>
      </w:tcPr>
    </w:tblStylePr>
  </w:style>
  <w:style w:type="table" w:customStyle="1" w:styleId="GridTable4-Accent13">
    <w:name w:val="Grid Table 4 - Accent 13"/>
    <w:basedOn w:val="TableNormal"/>
    <w:uiPriority w:val="59"/>
    <w:rsid w:val="005F5304"/>
    <w:tblPr>
      <w:tblStyleRowBandSize w:val="1"/>
      <w:tblStyleColBandSize w:val="1"/>
      <w:tblBorders>
        <w:top w:val="single" w:sz="4" w:space="0" w:color="8FCAED" w:themeColor="accent1" w:themeTint="99"/>
        <w:left w:val="single" w:sz="4" w:space="0" w:color="8FCAED" w:themeColor="accent1" w:themeTint="99"/>
        <w:bottom w:val="single" w:sz="4" w:space="0" w:color="8FCAED" w:themeColor="accent1" w:themeTint="99"/>
        <w:right w:val="single" w:sz="4" w:space="0" w:color="8FCAED" w:themeColor="accent1" w:themeTint="99"/>
        <w:insideH w:val="single" w:sz="4" w:space="0" w:color="8FCAED" w:themeColor="accent1" w:themeTint="99"/>
        <w:insideV w:val="single" w:sz="4" w:space="0" w:color="8FCAED" w:themeColor="accent1" w:themeTint="99"/>
      </w:tblBorders>
    </w:tblPr>
    <w:tblStylePr w:type="firstRow">
      <w:rPr>
        <w:b/>
        <w:bCs/>
        <w:color w:val="FFFFFF" w:themeColor="background1"/>
      </w:rPr>
      <w:tblPr/>
      <w:tcPr>
        <w:tcBorders>
          <w:top w:val="single" w:sz="4" w:space="0" w:color="45A7E1" w:themeColor="accent1"/>
          <w:left w:val="single" w:sz="4" w:space="0" w:color="45A7E1" w:themeColor="accent1"/>
          <w:bottom w:val="single" w:sz="4" w:space="0" w:color="45A7E1" w:themeColor="accent1"/>
          <w:right w:val="single" w:sz="4" w:space="0" w:color="45A7E1" w:themeColor="accent1"/>
          <w:insideH w:val="nil"/>
          <w:insideV w:val="nil"/>
        </w:tcBorders>
        <w:shd w:val="clear" w:color="auto" w:fill="45A7E1" w:themeFill="accent1"/>
      </w:tcPr>
    </w:tblStylePr>
    <w:tblStylePr w:type="lastRow">
      <w:rPr>
        <w:b/>
        <w:bCs/>
      </w:rPr>
      <w:tblPr/>
      <w:tcPr>
        <w:tcBorders>
          <w:top w:val="double" w:sz="4" w:space="0" w:color="45A7E1" w:themeColor="accent1"/>
        </w:tcBorders>
      </w:tcPr>
    </w:tblStylePr>
    <w:tblStylePr w:type="firstCol">
      <w:rPr>
        <w:b/>
        <w:bCs/>
      </w:rPr>
    </w:tblStylePr>
    <w:tblStylePr w:type="lastCol">
      <w:rPr>
        <w:b/>
        <w:bCs/>
      </w:rPr>
    </w:tblStylePr>
    <w:tblStylePr w:type="band1Vert">
      <w:tblPr/>
      <w:tcPr>
        <w:shd w:val="clear" w:color="auto" w:fill="D9EDF9" w:themeFill="accent1" w:themeFillTint="33"/>
      </w:tcPr>
    </w:tblStylePr>
    <w:tblStylePr w:type="band1Horz">
      <w:tblPr/>
      <w:tcPr>
        <w:shd w:val="clear" w:color="auto" w:fill="D9EDF9" w:themeFill="accent1" w:themeFillTint="33"/>
      </w:tcPr>
    </w:tblStylePr>
  </w:style>
  <w:style w:type="character" w:customStyle="1" w:styleId="UnresolvedMention4">
    <w:name w:val="Unresolved Mention4"/>
    <w:basedOn w:val="DefaultParagraphFont"/>
    <w:uiPriority w:val="99"/>
    <w:semiHidden/>
    <w:unhideWhenUsed/>
    <w:rsid w:val="005F5304"/>
    <w:rPr>
      <w:color w:val="605E5C"/>
      <w:shd w:val="clear" w:color="auto" w:fill="E1DFDD"/>
    </w:rPr>
  </w:style>
  <w:style w:type="table" w:customStyle="1" w:styleId="OPMPRTable">
    <w:name w:val="OPM PR Table"/>
    <w:basedOn w:val="OPMTable2019"/>
    <w:uiPriority w:val="99"/>
    <w:rsid w:val="00287E9B"/>
    <w:tblPr/>
    <w:tcPr>
      <w:shd w:val="clear" w:color="auto" w:fill="DBE4ED"/>
    </w:tcPr>
    <w:tblStylePr w:type="firstRow">
      <w:pPr>
        <w:keepNext/>
        <w:wordWrap/>
        <w:spacing w:beforeLines="0" w:beforeAutospacing="0" w:afterLines="0" w:afterAutospacing="0"/>
        <w:contextualSpacing w:val="0"/>
        <w:jc w:val="left"/>
      </w:pPr>
      <w:rPr>
        <w:rFonts w:ascii="TimesNewRoman" w:hAnsi="TimesNewRoman"/>
        <w:b/>
        <w:color w:val="FFFFFF" w:themeColor="background1"/>
        <w:sz w:val="20"/>
      </w:rPr>
      <w:tblPr/>
      <w:trPr>
        <w:tblHeader/>
      </w:trPr>
      <w:tcPr>
        <w:shd w:val="clear" w:color="auto" w:fill="0B1F51"/>
      </w:tcPr>
    </w:tblStylePr>
    <w:tblStylePr w:type="lastRow">
      <w:rPr>
        <w:b/>
        <w:i w:val="0"/>
        <w:color w:val="0B1F51"/>
      </w:rPr>
      <w:tblPr/>
      <w:tcPr>
        <w:shd w:val="clear" w:color="auto" w:fill="DBE4ED"/>
      </w:tcPr>
    </w:tblStylePr>
    <w:tblStylePr w:type="firstCol">
      <w:pPr>
        <w:jc w:val="left"/>
      </w:pPr>
      <w:rPr>
        <w:rFonts w:ascii="Arial" w:hAnsi="Arial"/>
        <w:b/>
        <w:i w:val="0"/>
        <w:color w:val="0B1F51"/>
        <w:sz w:val="20"/>
      </w:rPr>
      <w:tblPr/>
      <w:tcPr>
        <w:shd w:val="clear" w:color="auto" w:fill="DBE4ED"/>
      </w:tcPr>
    </w:tblStylePr>
  </w:style>
  <w:style w:type="character" w:customStyle="1" w:styleId="UnresolvedMention5">
    <w:name w:val="Unresolved Mention5"/>
    <w:basedOn w:val="DefaultParagraphFont"/>
    <w:uiPriority w:val="99"/>
    <w:semiHidden/>
    <w:unhideWhenUsed/>
    <w:rsid w:val="00DF7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3988">
      <w:bodyDiv w:val="1"/>
      <w:marLeft w:val="0"/>
      <w:marRight w:val="0"/>
      <w:marTop w:val="0"/>
      <w:marBottom w:val="0"/>
      <w:divBdr>
        <w:top w:val="none" w:sz="0" w:space="0" w:color="auto"/>
        <w:left w:val="none" w:sz="0" w:space="0" w:color="auto"/>
        <w:bottom w:val="none" w:sz="0" w:space="0" w:color="auto"/>
        <w:right w:val="none" w:sz="0" w:space="0" w:color="auto"/>
      </w:divBdr>
    </w:div>
    <w:div w:id="85150349">
      <w:bodyDiv w:val="1"/>
      <w:marLeft w:val="0"/>
      <w:marRight w:val="0"/>
      <w:marTop w:val="0"/>
      <w:marBottom w:val="0"/>
      <w:divBdr>
        <w:top w:val="none" w:sz="0" w:space="0" w:color="auto"/>
        <w:left w:val="none" w:sz="0" w:space="0" w:color="auto"/>
        <w:bottom w:val="none" w:sz="0" w:space="0" w:color="auto"/>
        <w:right w:val="none" w:sz="0" w:space="0" w:color="auto"/>
      </w:divBdr>
    </w:div>
    <w:div w:id="88937821">
      <w:bodyDiv w:val="1"/>
      <w:marLeft w:val="0"/>
      <w:marRight w:val="0"/>
      <w:marTop w:val="0"/>
      <w:marBottom w:val="0"/>
      <w:divBdr>
        <w:top w:val="none" w:sz="0" w:space="0" w:color="auto"/>
        <w:left w:val="none" w:sz="0" w:space="0" w:color="auto"/>
        <w:bottom w:val="none" w:sz="0" w:space="0" w:color="auto"/>
        <w:right w:val="none" w:sz="0" w:space="0" w:color="auto"/>
      </w:divBdr>
    </w:div>
    <w:div w:id="95563161">
      <w:bodyDiv w:val="1"/>
      <w:marLeft w:val="0"/>
      <w:marRight w:val="0"/>
      <w:marTop w:val="0"/>
      <w:marBottom w:val="0"/>
      <w:divBdr>
        <w:top w:val="none" w:sz="0" w:space="0" w:color="auto"/>
        <w:left w:val="none" w:sz="0" w:space="0" w:color="auto"/>
        <w:bottom w:val="none" w:sz="0" w:space="0" w:color="auto"/>
        <w:right w:val="none" w:sz="0" w:space="0" w:color="auto"/>
      </w:divBdr>
    </w:div>
    <w:div w:id="124272980">
      <w:bodyDiv w:val="1"/>
      <w:marLeft w:val="0"/>
      <w:marRight w:val="0"/>
      <w:marTop w:val="0"/>
      <w:marBottom w:val="0"/>
      <w:divBdr>
        <w:top w:val="none" w:sz="0" w:space="0" w:color="auto"/>
        <w:left w:val="none" w:sz="0" w:space="0" w:color="auto"/>
        <w:bottom w:val="none" w:sz="0" w:space="0" w:color="auto"/>
        <w:right w:val="none" w:sz="0" w:space="0" w:color="auto"/>
      </w:divBdr>
      <w:divsChild>
        <w:div w:id="690113134">
          <w:marLeft w:val="0"/>
          <w:marRight w:val="0"/>
          <w:marTop w:val="0"/>
          <w:marBottom w:val="0"/>
          <w:divBdr>
            <w:top w:val="none" w:sz="0" w:space="0" w:color="auto"/>
            <w:left w:val="none" w:sz="0" w:space="0" w:color="auto"/>
            <w:bottom w:val="none" w:sz="0" w:space="0" w:color="auto"/>
            <w:right w:val="none" w:sz="0" w:space="0" w:color="auto"/>
          </w:divBdr>
          <w:divsChild>
            <w:div w:id="306009242">
              <w:marLeft w:val="0"/>
              <w:marRight w:val="0"/>
              <w:marTop w:val="0"/>
              <w:marBottom w:val="0"/>
              <w:divBdr>
                <w:top w:val="none" w:sz="0" w:space="0" w:color="auto"/>
                <w:left w:val="none" w:sz="0" w:space="0" w:color="auto"/>
                <w:bottom w:val="none" w:sz="0" w:space="0" w:color="auto"/>
                <w:right w:val="none" w:sz="0" w:space="0" w:color="auto"/>
              </w:divBdr>
              <w:divsChild>
                <w:div w:id="85361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6342">
      <w:bodyDiv w:val="1"/>
      <w:marLeft w:val="0"/>
      <w:marRight w:val="0"/>
      <w:marTop w:val="0"/>
      <w:marBottom w:val="0"/>
      <w:divBdr>
        <w:top w:val="none" w:sz="0" w:space="0" w:color="auto"/>
        <w:left w:val="none" w:sz="0" w:space="0" w:color="auto"/>
        <w:bottom w:val="none" w:sz="0" w:space="0" w:color="auto"/>
        <w:right w:val="none" w:sz="0" w:space="0" w:color="auto"/>
      </w:divBdr>
    </w:div>
    <w:div w:id="154877951">
      <w:bodyDiv w:val="1"/>
      <w:marLeft w:val="0"/>
      <w:marRight w:val="0"/>
      <w:marTop w:val="0"/>
      <w:marBottom w:val="0"/>
      <w:divBdr>
        <w:top w:val="none" w:sz="0" w:space="0" w:color="auto"/>
        <w:left w:val="none" w:sz="0" w:space="0" w:color="auto"/>
        <w:bottom w:val="none" w:sz="0" w:space="0" w:color="auto"/>
        <w:right w:val="none" w:sz="0" w:space="0" w:color="auto"/>
      </w:divBdr>
    </w:div>
    <w:div w:id="171843063">
      <w:bodyDiv w:val="1"/>
      <w:marLeft w:val="0"/>
      <w:marRight w:val="0"/>
      <w:marTop w:val="0"/>
      <w:marBottom w:val="0"/>
      <w:divBdr>
        <w:top w:val="none" w:sz="0" w:space="0" w:color="auto"/>
        <w:left w:val="none" w:sz="0" w:space="0" w:color="auto"/>
        <w:bottom w:val="none" w:sz="0" w:space="0" w:color="auto"/>
        <w:right w:val="none" w:sz="0" w:space="0" w:color="auto"/>
      </w:divBdr>
    </w:div>
    <w:div w:id="180749606">
      <w:bodyDiv w:val="1"/>
      <w:marLeft w:val="0"/>
      <w:marRight w:val="0"/>
      <w:marTop w:val="0"/>
      <w:marBottom w:val="0"/>
      <w:divBdr>
        <w:top w:val="none" w:sz="0" w:space="0" w:color="auto"/>
        <w:left w:val="none" w:sz="0" w:space="0" w:color="auto"/>
        <w:bottom w:val="none" w:sz="0" w:space="0" w:color="auto"/>
        <w:right w:val="none" w:sz="0" w:space="0" w:color="auto"/>
      </w:divBdr>
    </w:div>
    <w:div w:id="246503806">
      <w:bodyDiv w:val="1"/>
      <w:marLeft w:val="0"/>
      <w:marRight w:val="0"/>
      <w:marTop w:val="0"/>
      <w:marBottom w:val="0"/>
      <w:divBdr>
        <w:top w:val="none" w:sz="0" w:space="0" w:color="auto"/>
        <w:left w:val="none" w:sz="0" w:space="0" w:color="auto"/>
        <w:bottom w:val="none" w:sz="0" w:space="0" w:color="auto"/>
        <w:right w:val="none" w:sz="0" w:space="0" w:color="auto"/>
      </w:divBdr>
    </w:div>
    <w:div w:id="249124354">
      <w:bodyDiv w:val="1"/>
      <w:marLeft w:val="0"/>
      <w:marRight w:val="0"/>
      <w:marTop w:val="0"/>
      <w:marBottom w:val="0"/>
      <w:divBdr>
        <w:top w:val="none" w:sz="0" w:space="0" w:color="auto"/>
        <w:left w:val="none" w:sz="0" w:space="0" w:color="auto"/>
        <w:bottom w:val="none" w:sz="0" w:space="0" w:color="auto"/>
        <w:right w:val="none" w:sz="0" w:space="0" w:color="auto"/>
      </w:divBdr>
    </w:div>
    <w:div w:id="283119952">
      <w:bodyDiv w:val="1"/>
      <w:marLeft w:val="0"/>
      <w:marRight w:val="0"/>
      <w:marTop w:val="0"/>
      <w:marBottom w:val="0"/>
      <w:divBdr>
        <w:top w:val="none" w:sz="0" w:space="0" w:color="auto"/>
        <w:left w:val="none" w:sz="0" w:space="0" w:color="auto"/>
        <w:bottom w:val="none" w:sz="0" w:space="0" w:color="auto"/>
        <w:right w:val="none" w:sz="0" w:space="0" w:color="auto"/>
      </w:divBdr>
    </w:div>
    <w:div w:id="298456717">
      <w:bodyDiv w:val="1"/>
      <w:marLeft w:val="0"/>
      <w:marRight w:val="0"/>
      <w:marTop w:val="0"/>
      <w:marBottom w:val="0"/>
      <w:divBdr>
        <w:top w:val="none" w:sz="0" w:space="0" w:color="auto"/>
        <w:left w:val="none" w:sz="0" w:space="0" w:color="auto"/>
        <w:bottom w:val="none" w:sz="0" w:space="0" w:color="auto"/>
        <w:right w:val="none" w:sz="0" w:space="0" w:color="auto"/>
      </w:divBdr>
    </w:div>
    <w:div w:id="307054116">
      <w:bodyDiv w:val="1"/>
      <w:marLeft w:val="0"/>
      <w:marRight w:val="0"/>
      <w:marTop w:val="0"/>
      <w:marBottom w:val="0"/>
      <w:divBdr>
        <w:top w:val="none" w:sz="0" w:space="0" w:color="auto"/>
        <w:left w:val="none" w:sz="0" w:space="0" w:color="auto"/>
        <w:bottom w:val="none" w:sz="0" w:space="0" w:color="auto"/>
        <w:right w:val="none" w:sz="0" w:space="0" w:color="auto"/>
      </w:divBdr>
    </w:div>
    <w:div w:id="328753157">
      <w:bodyDiv w:val="1"/>
      <w:marLeft w:val="0"/>
      <w:marRight w:val="0"/>
      <w:marTop w:val="0"/>
      <w:marBottom w:val="0"/>
      <w:divBdr>
        <w:top w:val="none" w:sz="0" w:space="0" w:color="auto"/>
        <w:left w:val="none" w:sz="0" w:space="0" w:color="auto"/>
        <w:bottom w:val="none" w:sz="0" w:space="0" w:color="auto"/>
        <w:right w:val="none" w:sz="0" w:space="0" w:color="auto"/>
      </w:divBdr>
    </w:div>
    <w:div w:id="345713737">
      <w:bodyDiv w:val="1"/>
      <w:marLeft w:val="0"/>
      <w:marRight w:val="0"/>
      <w:marTop w:val="0"/>
      <w:marBottom w:val="0"/>
      <w:divBdr>
        <w:top w:val="none" w:sz="0" w:space="0" w:color="auto"/>
        <w:left w:val="none" w:sz="0" w:space="0" w:color="auto"/>
        <w:bottom w:val="none" w:sz="0" w:space="0" w:color="auto"/>
        <w:right w:val="none" w:sz="0" w:space="0" w:color="auto"/>
      </w:divBdr>
      <w:divsChild>
        <w:div w:id="109856881">
          <w:marLeft w:val="1080"/>
          <w:marRight w:val="0"/>
          <w:marTop w:val="100"/>
          <w:marBottom w:val="0"/>
          <w:divBdr>
            <w:top w:val="none" w:sz="0" w:space="0" w:color="auto"/>
            <w:left w:val="none" w:sz="0" w:space="0" w:color="auto"/>
            <w:bottom w:val="none" w:sz="0" w:space="0" w:color="auto"/>
            <w:right w:val="none" w:sz="0" w:space="0" w:color="auto"/>
          </w:divBdr>
        </w:div>
        <w:div w:id="507910532">
          <w:marLeft w:val="1080"/>
          <w:marRight w:val="0"/>
          <w:marTop w:val="100"/>
          <w:marBottom w:val="0"/>
          <w:divBdr>
            <w:top w:val="none" w:sz="0" w:space="0" w:color="auto"/>
            <w:left w:val="none" w:sz="0" w:space="0" w:color="auto"/>
            <w:bottom w:val="none" w:sz="0" w:space="0" w:color="auto"/>
            <w:right w:val="none" w:sz="0" w:space="0" w:color="auto"/>
          </w:divBdr>
        </w:div>
        <w:div w:id="1069422181">
          <w:marLeft w:val="360"/>
          <w:marRight w:val="0"/>
          <w:marTop w:val="200"/>
          <w:marBottom w:val="0"/>
          <w:divBdr>
            <w:top w:val="none" w:sz="0" w:space="0" w:color="auto"/>
            <w:left w:val="none" w:sz="0" w:space="0" w:color="auto"/>
            <w:bottom w:val="none" w:sz="0" w:space="0" w:color="auto"/>
            <w:right w:val="none" w:sz="0" w:space="0" w:color="auto"/>
          </w:divBdr>
        </w:div>
        <w:div w:id="1691641397">
          <w:marLeft w:val="1080"/>
          <w:marRight w:val="0"/>
          <w:marTop w:val="100"/>
          <w:marBottom w:val="0"/>
          <w:divBdr>
            <w:top w:val="none" w:sz="0" w:space="0" w:color="auto"/>
            <w:left w:val="none" w:sz="0" w:space="0" w:color="auto"/>
            <w:bottom w:val="none" w:sz="0" w:space="0" w:color="auto"/>
            <w:right w:val="none" w:sz="0" w:space="0" w:color="auto"/>
          </w:divBdr>
        </w:div>
        <w:div w:id="1875918416">
          <w:marLeft w:val="1080"/>
          <w:marRight w:val="0"/>
          <w:marTop w:val="100"/>
          <w:marBottom w:val="0"/>
          <w:divBdr>
            <w:top w:val="none" w:sz="0" w:space="0" w:color="auto"/>
            <w:left w:val="none" w:sz="0" w:space="0" w:color="auto"/>
            <w:bottom w:val="none" w:sz="0" w:space="0" w:color="auto"/>
            <w:right w:val="none" w:sz="0" w:space="0" w:color="auto"/>
          </w:divBdr>
        </w:div>
        <w:div w:id="1895389050">
          <w:marLeft w:val="1080"/>
          <w:marRight w:val="0"/>
          <w:marTop w:val="100"/>
          <w:marBottom w:val="0"/>
          <w:divBdr>
            <w:top w:val="none" w:sz="0" w:space="0" w:color="auto"/>
            <w:left w:val="none" w:sz="0" w:space="0" w:color="auto"/>
            <w:bottom w:val="none" w:sz="0" w:space="0" w:color="auto"/>
            <w:right w:val="none" w:sz="0" w:space="0" w:color="auto"/>
          </w:divBdr>
        </w:div>
      </w:divsChild>
    </w:div>
    <w:div w:id="387849991">
      <w:bodyDiv w:val="1"/>
      <w:marLeft w:val="0"/>
      <w:marRight w:val="0"/>
      <w:marTop w:val="0"/>
      <w:marBottom w:val="0"/>
      <w:divBdr>
        <w:top w:val="none" w:sz="0" w:space="0" w:color="auto"/>
        <w:left w:val="none" w:sz="0" w:space="0" w:color="auto"/>
        <w:bottom w:val="none" w:sz="0" w:space="0" w:color="auto"/>
        <w:right w:val="none" w:sz="0" w:space="0" w:color="auto"/>
      </w:divBdr>
    </w:div>
    <w:div w:id="409619953">
      <w:bodyDiv w:val="1"/>
      <w:marLeft w:val="0"/>
      <w:marRight w:val="0"/>
      <w:marTop w:val="0"/>
      <w:marBottom w:val="0"/>
      <w:divBdr>
        <w:top w:val="none" w:sz="0" w:space="0" w:color="auto"/>
        <w:left w:val="none" w:sz="0" w:space="0" w:color="auto"/>
        <w:bottom w:val="none" w:sz="0" w:space="0" w:color="auto"/>
        <w:right w:val="none" w:sz="0" w:space="0" w:color="auto"/>
      </w:divBdr>
    </w:div>
    <w:div w:id="424039702">
      <w:bodyDiv w:val="1"/>
      <w:marLeft w:val="0"/>
      <w:marRight w:val="0"/>
      <w:marTop w:val="0"/>
      <w:marBottom w:val="0"/>
      <w:divBdr>
        <w:top w:val="none" w:sz="0" w:space="0" w:color="auto"/>
        <w:left w:val="none" w:sz="0" w:space="0" w:color="auto"/>
        <w:bottom w:val="none" w:sz="0" w:space="0" w:color="auto"/>
        <w:right w:val="none" w:sz="0" w:space="0" w:color="auto"/>
      </w:divBdr>
    </w:div>
    <w:div w:id="451441099">
      <w:bodyDiv w:val="1"/>
      <w:marLeft w:val="0"/>
      <w:marRight w:val="0"/>
      <w:marTop w:val="0"/>
      <w:marBottom w:val="0"/>
      <w:divBdr>
        <w:top w:val="none" w:sz="0" w:space="0" w:color="auto"/>
        <w:left w:val="none" w:sz="0" w:space="0" w:color="auto"/>
        <w:bottom w:val="none" w:sz="0" w:space="0" w:color="auto"/>
        <w:right w:val="none" w:sz="0" w:space="0" w:color="auto"/>
      </w:divBdr>
    </w:div>
    <w:div w:id="455102341">
      <w:bodyDiv w:val="1"/>
      <w:marLeft w:val="0"/>
      <w:marRight w:val="0"/>
      <w:marTop w:val="0"/>
      <w:marBottom w:val="0"/>
      <w:divBdr>
        <w:top w:val="none" w:sz="0" w:space="0" w:color="auto"/>
        <w:left w:val="none" w:sz="0" w:space="0" w:color="auto"/>
        <w:bottom w:val="none" w:sz="0" w:space="0" w:color="auto"/>
        <w:right w:val="none" w:sz="0" w:space="0" w:color="auto"/>
      </w:divBdr>
    </w:div>
    <w:div w:id="488250148">
      <w:bodyDiv w:val="1"/>
      <w:marLeft w:val="0"/>
      <w:marRight w:val="0"/>
      <w:marTop w:val="0"/>
      <w:marBottom w:val="0"/>
      <w:divBdr>
        <w:top w:val="none" w:sz="0" w:space="0" w:color="auto"/>
        <w:left w:val="none" w:sz="0" w:space="0" w:color="auto"/>
        <w:bottom w:val="none" w:sz="0" w:space="0" w:color="auto"/>
        <w:right w:val="none" w:sz="0" w:space="0" w:color="auto"/>
      </w:divBdr>
    </w:div>
    <w:div w:id="490175781">
      <w:bodyDiv w:val="1"/>
      <w:marLeft w:val="0"/>
      <w:marRight w:val="0"/>
      <w:marTop w:val="0"/>
      <w:marBottom w:val="0"/>
      <w:divBdr>
        <w:top w:val="none" w:sz="0" w:space="0" w:color="auto"/>
        <w:left w:val="none" w:sz="0" w:space="0" w:color="auto"/>
        <w:bottom w:val="none" w:sz="0" w:space="0" w:color="auto"/>
        <w:right w:val="none" w:sz="0" w:space="0" w:color="auto"/>
      </w:divBdr>
    </w:div>
    <w:div w:id="490294552">
      <w:bodyDiv w:val="1"/>
      <w:marLeft w:val="0"/>
      <w:marRight w:val="0"/>
      <w:marTop w:val="0"/>
      <w:marBottom w:val="0"/>
      <w:divBdr>
        <w:top w:val="none" w:sz="0" w:space="0" w:color="auto"/>
        <w:left w:val="none" w:sz="0" w:space="0" w:color="auto"/>
        <w:bottom w:val="none" w:sz="0" w:space="0" w:color="auto"/>
        <w:right w:val="none" w:sz="0" w:space="0" w:color="auto"/>
      </w:divBdr>
    </w:div>
    <w:div w:id="492382212">
      <w:bodyDiv w:val="1"/>
      <w:marLeft w:val="0"/>
      <w:marRight w:val="0"/>
      <w:marTop w:val="0"/>
      <w:marBottom w:val="0"/>
      <w:divBdr>
        <w:top w:val="none" w:sz="0" w:space="0" w:color="auto"/>
        <w:left w:val="none" w:sz="0" w:space="0" w:color="auto"/>
        <w:bottom w:val="none" w:sz="0" w:space="0" w:color="auto"/>
        <w:right w:val="none" w:sz="0" w:space="0" w:color="auto"/>
      </w:divBdr>
    </w:div>
    <w:div w:id="503013597">
      <w:bodyDiv w:val="1"/>
      <w:marLeft w:val="0"/>
      <w:marRight w:val="0"/>
      <w:marTop w:val="0"/>
      <w:marBottom w:val="0"/>
      <w:divBdr>
        <w:top w:val="none" w:sz="0" w:space="0" w:color="auto"/>
        <w:left w:val="none" w:sz="0" w:space="0" w:color="auto"/>
        <w:bottom w:val="none" w:sz="0" w:space="0" w:color="auto"/>
        <w:right w:val="none" w:sz="0" w:space="0" w:color="auto"/>
      </w:divBdr>
    </w:div>
    <w:div w:id="504518735">
      <w:bodyDiv w:val="1"/>
      <w:marLeft w:val="0"/>
      <w:marRight w:val="0"/>
      <w:marTop w:val="0"/>
      <w:marBottom w:val="0"/>
      <w:divBdr>
        <w:top w:val="none" w:sz="0" w:space="0" w:color="auto"/>
        <w:left w:val="none" w:sz="0" w:space="0" w:color="auto"/>
        <w:bottom w:val="none" w:sz="0" w:space="0" w:color="auto"/>
        <w:right w:val="none" w:sz="0" w:space="0" w:color="auto"/>
      </w:divBdr>
    </w:div>
    <w:div w:id="557936799">
      <w:bodyDiv w:val="1"/>
      <w:marLeft w:val="0"/>
      <w:marRight w:val="0"/>
      <w:marTop w:val="0"/>
      <w:marBottom w:val="0"/>
      <w:divBdr>
        <w:top w:val="none" w:sz="0" w:space="0" w:color="auto"/>
        <w:left w:val="none" w:sz="0" w:space="0" w:color="auto"/>
        <w:bottom w:val="none" w:sz="0" w:space="0" w:color="auto"/>
        <w:right w:val="none" w:sz="0" w:space="0" w:color="auto"/>
      </w:divBdr>
    </w:div>
    <w:div w:id="559368783">
      <w:bodyDiv w:val="1"/>
      <w:marLeft w:val="0"/>
      <w:marRight w:val="0"/>
      <w:marTop w:val="0"/>
      <w:marBottom w:val="0"/>
      <w:divBdr>
        <w:top w:val="none" w:sz="0" w:space="0" w:color="auto"/>
        <w:left w:val="none" w:sz="0" w:space="0" w:color="auto"/>
        <w:bottom w:val="none" w:sz="0" w:space="0" w:color="auto"/>
        <w:right w:val="none" w:sz="0" w:space="0" w:color="auto"/>
      </w:divBdr>
    </w:div>
    <w:div w:id="567885059">
      <w:bodyDiv w:val="1"/>
      <w:marLeft w:val="0"/>
      <w:marRight w:val="0"/>
      <w:marTop w:val="0"/>
      <w:marBottom w:val="0"/>
      <w:divBdr>
        <w:top w:val="none" w:sz="0" w:space="0" w:color="auto"/>
        <w:left w:val="none" w:sz="0" w:space="0" w:color="auto"/>
        <w:bottom w:val="none" w:sz="0" w:space="0" w:color="auto"/>
        <w:right w:val="none" w:sz="0" w:space="0" w:color="auto"/>
      </w:divBdr>
    </w:div>
    <w:div w:id="581109526">
      <w:bodyDiv w:val="1"/>
      <w:marLeft w:val="0"/>
      <w:marRight w:val="0"/>
      <w:marTop w:val="0"/>
      <w:marBottom w:val="0"/>
      <w:divBdr>
        <w:top w:val="none" w:sz="0" w:space="0" w:color="auto"/>
        <w:left w:val="none" w:sz="0" w:space="0" w:color="auto"/>
        <w:bottom w:val="none" w:sz="0" w:space="0" w:color="auto"/>
        <w:right w:val="none" w:sz="0" w:space="0" w:color="auto"/>
      </w:divBdr>
    </w:div>
    <w:div w:id="589781459">
      <w:bodyDiv w:val="1"/>
      <w:marLeft w:val="0"/>
      <w:marRight w:val="0"/>
      <w:marTop w:val="0"/>
      <w:marBottom w:val="0"/>
      <w:divBdr>
        <w:top w:val="none" w:sz="0" w:space="0" w:color="auto"/>
        <w:left w:val="none" w:sz="0" w:space="0" w:color="auto"/>
        <w:bottom w:val="none" w:sz="0" w:space="0" w:color="auto"/>
        <w:right w:val="none" w:sz="0" w:space="0" w:color="auto"/>
      </w:divBdr>
    </w:div>
    <w:div w:id="614214328">
      <w:bodyDiv w:val="1"/>
      <w:marLeft w:val="0"/>
      <w:marRight w:val="0"/>
      <w:marTop w:val="0"/>
      <w:marBottom w:val="0"/>
      <w:divBdr>
        <w:top w:val="none" w:sz="0" w:space="0" w:color="auto"/>
        <w:left w:val="none" w:sz="0" w:space="0" w:color="auto"/>
        <w:bottom w:val="none" w:sz="0" w:space="0" w:color="auto"/>
        <w:right w:val="none" w:sz="0" w:space="0" w:color="auto"/>
      </w:divBdr>
    </w:div>
    <w:div w:id="621155812">
      <w:bodyDiv w:val="1"/>
      <w:marLeft w:val="0"/>
      <w:marRight w:val="0"/>
      <w:marTop w:val="0"/>
      <w:marBottom w:val="0"/>
      <w:divBdr>
        <w:top w:val="none" w:sz="0" w:space="0" w:color="auto"/>
        <w:left w:val="none" w:sz="0" w:space="0" w:color="auto"/>
        <w:bottom w:val="none" w:sz="0" w:space="0" w:color="auto"/>
        <w:right w:val="none" w:sz="0" w:space="0" w:color="auto"/>
      </w:divBdr>
    </w:div>
    <w:div w:id="652567928">
      <w:bodyDiv w:val="1"/>
      <w:marLeft w:val="0"/>
      <w:marRight w:val="0"/>
      <w:marTop w:val="0"/>
      <w:marBottom w:val="0"/>
      <w:divBdr>
        <w:top w:val="none" w:sz="0" w:space="0" w:color="auto"/>
        <w:left w:val="none" w:sz="0" w:space="0" w:color="auto"/>
        <w:bottom w:val="none" w:sz="0" w:space="0" w:color="auto"/>
        <w:right w:val="none" w:sz="0" w:space="0" w:color="auto"/>
      </w:divBdr>
    </w:div>
    <w:div w:id="701396087">
      <w:bodyDiv w:val="1"/>
      <w:marLeft w:val="0"/>
      <w:marRight w:val="0"/>
      <w:marTop w:val="0"/>
      <w:marBottom w:val="0"/>
      <w:divBdr>
        <w:top w:val="none" w:sz="0" w:space="0" w:color="auto"/>
        <w:left w:val="none" w:sz="0" w:space="0" w:color="auto"/>
        <w:bottom w:val="none" w:sz="0" w:space="0" w:color="auto"/>
        <w:right w:val="none" w:sz="0" w:space="0" w:color="auto"/>
      </w:divBdr>
    </w:div>
    <w:div w:id="702100195">
      <w:bodyDiv w:val="1"/>
      <w:marLeft w:val="0"/>
      <w:marRight w:val="0"/>
      <w:marTop w:val="0"/>
      <w:marBottom w:val="0"/>
      <w:divBdr>
        <w:top w:val="none" w:sz="0" w:space="0" w:color="auto"/>
        <w:left w:val="none" w:sz="0" w:space="0" w:color="auto"/>
        <w:bottom w:val="none" w:sz="0" w:space="0" w:color="auto"/>
        <w:right w:val="none" w:sz="0" w:space="0" w:color="auto"/>
      </w:divBdr>
    </w:div>
    <w:div w:id="718821477">
      <w:bodyDiv w:val="1"/>
      <w:marLeft w:val="0"/>
      <w:marRight w:val="0"/>
      <w:marTop w:val="0"/>
      <w:marBottom w:val="0"/>
      <w:divBdr>
        <w:top w:val="none" w:sz="0" w:space="0" w:color="auto"/>
        <w:left w:val="none" w:sz="0" w:space="0" w:color="auto"/>
        <w:bottom w:val="none" w:sz="0" w:space="0" w:color="auto"/>
        <w:right w:val="none" w:sz="0" w:space="0" w:color="auto"/>
      </w:divBdr>
    </w:div>
    <w:div w:id="740520944">
      <w:bodyDiv w:val="1"/>
      <w:marLeft w:val="0"/>
      <w:marRight w:val="0"/>
      <w:marTop w:val="0"/>
      <w:marBottom w:val="0"/>
      <w:divBdr>
        <w:top w:val="none" w:sz="0" w:space="0" w:color="auto"/>
        <w:left w:val="none" w:sz="0" w:space="0" w:color="auto"/>
        <w:bottom w:val="none" w:sz="0" w:space="0" w:color="auto"/>
        <w:right w:val="none" w:sz="0" w:space="0" w:color="auto"/>
      </w:divBdr>
    </w:div>
    <w:div w:id="747461388">
      <w:bodyDiv w:val="1"/>
      <w:marLeft w:val="0"/>
      <w:marRight w:val="0"/>
      <w:marTop w:val="0"/>
      <w:marBottom w:val="0"/>
      <w:divBdr>
        <w:top w:val="none" w:sz="0" w:space="0" w:color="auto"/>
        <w:left w:val="none" w:sz="0" w:space="0" w:color="auto"/>
        <w:bottom w:val="none" w:sz="0" w:space="0" w:color="auto"/>
        <w:right w:val="none" w:sz="0" w:space="0" w:color="auto"/>
      </w:divBdr>
    </w:div>
    <w:div w:id="785856640">
      <w:bodyDiv w:val="1"/>
      <w:marLeft w:val="0"/>
      <w:marRight w:val="0"/>
      <w:marTop w:val="0"/>
      <w:marBottom w:val="0"/>
      <w:divBdr>
        <w:top w:val="none" w:sz="0" w:space="0" w:color="auto"/>
        <w:left w:val="none" w:sz="0" w:space="0" w:color="auto"/>
        <w:bottom w:val="none" w:sz="0" w:space="0" w:color="auto"/>
        <w:right w:val="none" w:sz="0" w:space="0" w:color="auto"/>
      </w:divBdr>
    </w:div>
    <w:div w:id="832720605">
      <w:bodyDiv w:val="1"/>
      <w:marLeft w:val="0"/>
      <w:marRight w:val="0"/>
      <w:marTop w:val="0"/>
      <w:marBottom w:val="0"/>
      <w:divBdr>
        <w:top w:val="none" w:sz="0" w:space="0" w:color="auto"/>
        <w:left w:val="none" w:sz="0" w:space="0" w:color="auto"/>
        <w:bottom w:val="none" w:sz="0" w:space="0" w:color="auto"/>
        <w:right w:val="none" w:sz="0" w:space="0" w:color="auto"/>
      </w:divBdr>
    </w:div>
    <w:div w:id="835807577">
      <w:bodyDiv w:val="1"/>
      <w:marLeft w:val="0"/>
      <w:marRight w:val="0"/>
      <w:marTop w:val="0"/>
      <w:marBottom w:val="0"/>
      <w:divBdr>
        <w:top w:val="none" w:sz="0" w:space="0" w:color="auto"/>
        <w:left w:val="none" w:sz="0" w:space="0" w:color="auto"/>
        <w:bottom w:val="none" w:sz="0" w:space="0" w:color="auto"/>
        <w:right w:val="none" w:sz="0" w:space="0" w:color="auto"/>
      </w:divBdr>
    </w:div>
    <w:div w:id="849687221">
      <w:bodyDiv w:val="1"/>
      <w:marLeft w:val="0"/>
      <w:marRight w:val="0"/>
      <w:marTop w:val="0"/>
      <w:marBottom w:val="0"/>
      <w:divBdr>
        <w:top w:val="none" w:sz="0" w:space="0" w:color="auto"/>
        <w:left w:val="none" w:sz="0" w:space="0" w:color="auto"/>
        <w:bottom w:val="none" w:sz="0" w:space="0" w:color="auto"/>
        <w:right w:val="none" w:sz="0" w:space="0" w:color="auto"/>
      </w:divBdr>
    </w:div>
    <w:div w:id="852188008">
      <w:bodyDiv w:val="1"/>
      <w:marLeft w:val="0"/>
      <w:marRight w:val="0"/>
      <w:marTop w:val="0"/>
      <w:marBottom w:val="0"/>
      <w:divBdr>
        <w:top w:val="none" w:sz="0" w:space="0" w:color="auto"/>
        <w:left w:val="none" w:sz="0" w:space="0" w:color="auto"/>
        <w:bottom w:val="none" w:sz="0" w:space="0" w:color="auto"/>
        <w:right w:val="none" w:sz="0" w:space="0" w:color="auto"/>
      </w:divBdr>
    </w:div>
    <w:div w:id="856239421">
      <w:bodyDiv w:val="1"/>
      <w:marLeft w:val="0"/>
      <w:marRight w:val="0"/>
      <w:marTop w:val="0"/>
      <w:marBottom w:val="0"/>
      <w:divBdr>
        <w:top w:val="none" w:sz="0" w:space="0" w:color="auto"/>
        <w:left w:val="none" w:sz="0" w:space="0" w:color="auto"/>
        <w:bottom w:val="none" w:sz="0" w:space="0" w:color="auto"/>
        <w:right w:val="none" w:sz="0" w:space="0" w:color="auto"/>
      </w:divBdr>
    </w:div>
    <w:div w:id="864486977">
      <w:bodyDiv w:val="1"/>
      <w:marLeft w:val="0"/>
      <w:marRight w:val="0"/>
      <w:marTop w:val="0"/>
      <w:marBottom w:val="0"/>
      <w:divBdr>
        <w:top w:val="none" w:sz="0" w:space="0" w:color="auto"/>
        <w:left w:val="none" w:sz="0" w:space="0" w:color="auto"/>
        <w:bottom w:val="none" w:sz="0" w:space="0" w:color="auto"/>
        <w:right w:val="none" w:sz="0" w:space="0" w:color="auto"/>
      </w:divBdr>
    </w:div>
    <w:div w:id="868956837">
      <w:bodyDiv w:val="1"/>
      <w:marLeft w:val="0"/>
      <w:marRight w:val="0"/>
      <w:marTop w:val="0"/>
      <w:marBottom w:val="0"/>
      <w:divBdr>
        <w:top w:val="none" w:sz="0" w:space="0" w:color="auto"/>
        <w:left w:val="none" w:sz="0" w:space="0" w:color="auto"/>
        <w:bottom w:val="none" w:sz="0" w:space="0" w:color="auto"/>
        <w:right w:val="none" w:sz="0" w:space="0" w:color="auto"/>
      </w:divBdr>
    </w:div>
    <w:div w:id="878013709">
      <w:bodyDiv w:val="1"/>
      <w:marLeft w:val="0"/>
      <w:marRight w:val="0"/>
      <w:marTop w:val="0"/>
      <w:marBottom w:val="0"/>
      <w:divBdr>
        <w:top w:val="none" w:sz="0" w:space="0" w:color="auto"/>
        <w:left w:val="none" w:sz="0" w:space="0" w:color="auto"/>
        <w:bottom w:val="none" w:sz="0" w:space="0" w:color="auto"/>
        <w:right w:val="none" w:sz="0" w:space="0" w:color="auto"/>
      </w:divBdr>
    </w:div>
    <w:div w:id="879316594">
      <w:bodyDiv w:val="1"/>
      <w:marLeft w:val="0"/>
      <w:marRight w:val="0"/>
      <w:marTop w:val="0"/>
      <w:marBottom w:val="0"/>
      <w:divBdr>
        <w:top w:val="none" w:sz="0" w:space="0" w:color="auto"/>
        <w:left w:val="none" w:sz="0" w:space="0" w:color="auto"/>
        <w:bottom w:val="none" w:sz="0" w:space="0" w:color="auto"/>
        <w:right w:val="none" w:sz="0" w:space="0" w:color="auto"/>
      </w:divBdr>
    </w:div>
    <w:div w:id="885794727">
      <w:bodyDiv w:val="1"/>
      <w:marLeft w:val="0"/>
      <w:marRight w:val="0"/>
      <w:marTop w:val="0"/>
      <w:marBottom w:val="0"/>
      <w:divBdr>
        <w:top w:val="none" w:sz="0" w:space="0" w:color="auto"/>
        <w:left w:val="none" w:sz="0" w:space="0" w:color="auto"/>
        <w:bottom w:val="none" w:sz="0" w:space="0" w:color="auto"/>
        <w:right w:val="none" w:sz="0" w:space="0" w:color="auto"/>
      </w:divBdr>
      <w:divsChild>
        <w:div w:id="21253417">
          <w:marLeft w:val="360"/>
          <w:marRight w:val="0"/>
          <w:marTop w:val="200"/>
          <w:marBottom w:val="0"/>
          <w:divBdr>
            <w:top w:val="none" w:sz="0" w:space="0" w:color="auto"/>
            <w:left w:val="none" w:sz="0" w:space="0" w:color="auto"/>
            <w:bottom w:val="none" w:sz="0" w:space="0" w:color="auto"/>
            <w:right w:val="none" w:sz="0" w:space="0" w:color="auto"/>
          </w:divBdr>
        </w:div>
        <w:div w:id="160588444">
          <w:marLeft w:val="360"/>
          <w:marRight w:val="0"/>
          <w:marTop w:val="200"/>
          <w:marBottom w:val="0"/>
          <w:divBdr>
            <w:top w:val="none" w:sz="0" w:space="0" w:color="auto"/>
            <w:left w:val="none" w:sz="0" w:space="0" w:color="auto"/>
            <w:bottom w:val="none" w:sz="0" w:space="0" w:color="auto"/>
            <w:right w:val="none" w:sz="0" w:space="0" w:color="auto"/>
          </w:divBdr>
        </w:div>
        <w:div w:id="460806453">
          <w:marLeft w:val="360"/>
          <w:marRight w:val="0"/>
          <w:marTop w:val="200"/>
          <w:marBottom w:val="0"/>
          <w:divBdr>
            <w:top w:val="none" w:sz="0" w:space="0" w:color="auto"/>
            <w:left w:val="none" w:sz="0" w:space="0" w:color="auto"/>
            <w:bottom w:val="none" w:sz="0" w:space="0" w:color="auto"/>
            <w:right w:val="none" w:sz="0" w:space="0" w:color="auto"/>
          </w:divBdr>
        </w:div>
        <w:div w:id="927157547">
          <w:marLeft w:val="360"/>
          <w:marRight w:val="0"/>
          <w:marTop w:val="200"/>
          <w:marBottom w:val="0"/>
          <w:divBdr>
            <w:top w:val="none" w:sz="0" w:space="0" w:color="auto"/>
            <w:left w:val="none" w:sz="0" w:space="0" w:color="auto"/>
            <w:bottom w:val="none" w:sz="0" w:space="0" w:color="auto"/>
            <w:right w:val="none" w:sz="0" w:space="0" w:color="auto"/>
          </w:divBdr>
        </w:div>
        <w:div w:id="1391422813">
          <w:marLeft w:val="360"/>
          <w:marRight w:val="0"/>
          <w:marTop w:val="200"/>
          <w:marBottom w:val="0"/>
          <w:divBdr>
            <w:top w:val="none" w:sz="0" w:space="0" w:color="auto"/>
            <w:left w:val="none" w:sz="0" w:space="0" w:color="auto"/>
            <w:bottom w:val="none" w:sz="0" w:space="0" w:color="auto"/>
            <w:right w:val="none" w:sz="0" w:space="0" w:color="auto"/>
          </w:divBdr>
        </w:div>
        <w:div w:id="1944725600">
          <w:marLeft w:val="360"/>
          <w:marRight w:val="0"/>
          <w:marTop w:val="200"/>
          <w:marBottom w:val="0"/>
          <w:divBdr>
            <w:top w:val="none" w:sz="0" w:space="0" w:color="auto"/>
            <w:left w:val="none" w:sz="0" w:space="0" w:color="auto"/>
            <w:bottom w:val="none" w:sz="0" w:space="0" w:color="auto"/>
            <w:right w:val="none" w:sz="0" w:space="0" w:color="auto"/>
          </w:divBdr>
        </w:div>
        <w:div w:id="1989547909">
          <w:marLeft w:val="360"/>
          <w:marRight w:val="0"/>
          <w:marTop w:val="200"/>
          <w:marBottom w:val="0"/>
          <w:divBdr>
            <w:top w:val="none" w:sz="0" w:space="0" w:color="auto"/>
            <w:left w:val="none" w:sz="0" w:space="0" w:color="auto"/>
            <w:bottom w:val="none" w:sz="0" w:space="0" w:color="auto"/>
            <w:right w:val="none" w:sz="0" w:space="0" w:color="auto"/>
          </w:divBdr>
        </w:div>
      </w:divsChild>
    </w:div>
    <w:div w:id="900407187">
      <w:bodyDiv w:val="1"/>
      <w:marLeft w:val="0"/>
      <w:marRight w:val="0"/>
      <w:marTop w:val="0"/>
      <w:marBottom w:val="0"/>
      <w:divBdr>
        <w:top w:val="none" w:sz="0" w:space="0" w:color="auto"/>
        <w:left w:val="none" w:sz="0" w:space="0" w:color="auto"/>
        <w:bottom w:val="none" w:sz="0" w:space="0" w:color="auto"/>
        <w:right w:val="none" w:sz="0" w:space="0" w:color="auto"/>
      </w:divBdr>
      <w:divsChild>
        <w:div w:id="1105927939">
          <w:marLeft w:val="0"/>
          <w:marRight w:val="0"/>
          <w:marTop w:val="0"/>
          <w:marBottom w:val="0"/>
          <w:divBdr>
            <w:top w:val="none" w:sz="0" w:space="0" w:color="auto"/>
            <w:left w:val="none" w:sz="0" w:space="0" w:color="auto"/>
            <w:bottom w:val="none" w:sz="0" w:space="0" w:color="auto"/>
            <w:right w:val="none" w:sz="0" w:space="0" w:color="auto"/>
          </w:divBdr>
          <w:divsChild>
            <w:div w:id="890459597">
              <w:marLeft w:val="0"/>
              <w:marRight w:val="0"/>
              <w:marTop w:val="0"/>
              <w:marBottom w:val="0"/>
              <w:divBdr>
                <w:top w:val="none" w:sz="0" w:space="0" w:color="auto"/>
                <w:left w:val="none" w:sz="0" w:space="0" w:color="auto"/>
                <w:bottom w:val="none" w:sz="0" w:space="0" w:color="auto"/>
                <w:right w:val="none" w:sz="0" w:space="0" w:color="auto"/>
              </w:divBdr>
              <w:divsChild>
                <w:div w:id="136802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983826">
      <w:bodyDiv w:val="1"/>
      <w:marLeft w:val="0"/>
      <w:marRight w:val="0"/>
      <w:marTop w:val="0"/>
      <w:marBottom w:val="0"/>
      <w:divBdr>
        <w:top w:val="none" w:sz="0" w:space="0" w:color="auto"/>
        <w:left w:val="none" w:sz="0" w:space="0" w:color="auto"/>
        <w:bottom w:val="none" w:sz="0" w:space="0" w:color="auto"/>
        <w:right w:val="none" w:sz="0" w:space="0" w:color="auto"/>
      </w:divBdr>
    </w:div>
    <w:div w:id="912471601">
      <w:bodyDiv w:val="1"/>
      <w:marLeft w:val="0"/>
      <w:marRight w:val="0"/>
      <w:marTop w:val="0"/>
      <w:marBottom w:val="0"/>
      <w:divBdr>
        <w:top w:val="none" w:sz="0" w:space="0" w:color="auto"/>
        <w:left w:val="none" w:sz="0" w:space="0" w:color="auto"/>
        <w:bottom w:val="none" w:sz="0" w:space="0" w:color="auto"/>
        <w:right w:val="none" w:sz="0" w:space="0" w:color="auto"/>
      </w:divBdr>
    </w:div>
    <w:div w:id="945309977">
      <w:bodyDiv w:val="1"/>
      <w:marLeft w:val="0"/>
      <w:marRight w:val="0"/>
      <w:marTop w:val="0"/>
      <w:marBottom w:val="0"/>
      <w:divBdr>
        <w:top w:val="none" w:sz="0" w:space="0" w:color="auto"/>
        <w:left w:val="none" w:sz="0" w:space="0" w:color="auto"/>
        <w:bottom w:val="none" w:sz="0" w:space="0" w:color="auto"/>
        <w:right w:val="none" w:sz="0" w:space="0" w:color="auto"/>
      </w:divBdr>
      <w:divsChild>
        <w:div w:id="2070687061">
          <w:marLeft w:val="0"/>
          <w:marRight w:val="0"/>
          <w:marTop w:val="0"/>
          <w:marBottom w:val="0"/>
          <w:divBdr>
            <w:top w:val="none" w:sz="0" w:space="0" w:color="auto"/>
            <w:left w:val="none" w:sz="0" w:space="0" w:color="auto"/>
            <w:bottom w:val="none" w:sz="0" w:space="0" w:color="auto"/>
            <w:right w:val="none" w:sz="0" w:space="0" w:color="auto"/>
          </w:divBdr>
          <w:divsChild>
            <w:div w:id="1818567589">
              <w:marLeft w:val="0"/>
              <w:marRight w:val="0"/>
              <w:marTop w:val="0"/>
              <w:marBottom w:val="0"/>
              <w:divBdr>
                <w:top w:val="none" w:sz="0" w:space="0" w:color="auto"/>
                <w:left w:val="none" w:sz="0" w:space="0" w:color="auto"/>
                <w:bottom w:val="none" w:sz="0" w:space="0" w:color="auto"/>
                <w:right w:val="none" w:sz="0" w:space="0" w:color="auto"/>
              </w:divBdr>
              <w:divsChild>
                <w:div w:id="41382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054827">
      <w:bodyDiv w:val="1"/>
      <w:marLeft w:val="0"/>
      <w:marRight w:val="0"/>
      <w:marTop w:val="0"/>
      <w:marBottom w:val="0"/>
      <w:divBdr>
        <w:top w:val="none" w:sz="0" w:space="0" w:color="auto"/>
        <w:left w:val="none" w:sz="0" w:space="0" w:color="auto"/>
        <w:bottom w:val="none" w:sz="0" w:space="0" w:color="auto"/>
        <w:right w:val="none" w:sz="0" w:space="0" w:color="auto"/>
      </w:divBdr>
    </w:div>
    <w:div w:id="1026521419">
      <w:bodyDiv w:val="1"/>
      <w:marLeft w:val="0"/>
      <w:marRight w:val="0"/>
      <w:marTop w:val="0"/>
      <w:marBottom w:val="0"/>
      <w:divBdr>
        <w:top w:val="none" w:sz="0" w:space="0" w:color="auto"/>
        <w:left w:val="none" w:sz="0" w:space="0" w:color="auto"/>
        <w:bottom w:val="none" w:sz="0" w:space="0" w:color="auto"/>
        <w:right w:val="none" w:sz="0" w:space="0" w:color="auto"/>
      </w:divBdr>
    </w:div>
    <w:div w:id="1026716814">
      <w:bodyDiv w:val="1"/>
      <w:marLeft w:val="0"/>
      <w:marRight w:val="0"/>
      <w:marTop w:val="0"/>
      <w:marBottom w:val="0"/>
      <w:divBdr>
        <w:top w:val="none" w:sz="0" w:space="0" w:color="auto"/>
        <w:left w:val="none" w:sz="0" w:space="0" w:color="auto"/>
        <w:bottom w:val="none" w:sz="0" w:space="0" w:color="auto"/>
        <w:right w:val="none" w:sz="0" w:space="0" w:color="auto"/>
      </w:divBdr>
    </w:div>
    <w:div w:id="1028095670">
      <w:bodyDiv w:val="1"/>
      <w:marLeft w:val="0"/>
      <w:marRight w:val="0"/>
      <w:marTop w:val="0"/>
      <w:marBottom w:val="0"/>
      <w:divBdr>
        <w:top w:val="none" w:sz="0" w:space="0" w:color="auto"/>
        <w:left w:val="none" w:sz="0" w:space="0" w:color="auto"/>
        <w:bottom w:val="none" w:sz="0" w:space="0" w:color="auto"/>
        <w:right w:val="none" w:sz="0" w:space="0" w:color="auto"/>
      </w:divBdr>
    </w:div>
    <w:div w:id="1039404126">
      <w:bodyDiv w:val="1"/>
      <w:marLeft w:val="0"/>
      <w:marRight w:val="0"/>
      <w:marTop w:val="0"/>
      <w:marBottom w:val="0"/>
      <w:divBdr>
        <w:top w:val="none" w:sz="0" w:space="0" w:color="auto"/>
        <w:left w:val="none" w:sz="0" w:space="0" w:color="auto"/>
        <w:bottom w:val="none" w:sz="0" w:space="0" w:color="auto"/>
        <w:right w:val="none" w:sz="0" w:space="0" w:color="auto"/>
      </w:divBdr>
    </w:div>
    <w:div w:id="1045376001">
      <w:bodyDiv w:val="1"/>
      <w:marLeft w:val="0"/>
      <w:marRight w:val="0"/>
      <w:marTop w:val="0"/>
      <w:marBottom w:val="0"/>
      <w:divBdr>
        <w:top w:val="none" w:sz="0" w:space="0" w:color="auto"/>
        <w:left w:val="none" w:sz="0" w:space="0" w:color="auto"/>
        <w:bottom w:val="none" w:sz="0" w:space="0" w:color="auto"/>
        <w:right w:val="none" w:sz="0" w:space="0" w:color="auto"/>
      </w:divBdr>
    </w:div>
    <w:div w:id="1059285665">
      <w:bodyDiv w:val="1"/>
      <w:marLeft w:val="0"/>
      <w:marRight w:val="0"/>
      <w:marTop w:val="0"/>
      <w:marBottom w:val="0"/>
      <w:divBdr>
        <w:top w:val="none" w:sz="0" w:space="0" w:color="auto"/>
        <w:left w:val="none" w:sz="0" w:space="0" w:color="auto"/>
        <w:bottom w:val="none" w:sz="0" w:space="0" w:color="auto"/>
        <w:right w:val="none" w:sz="0" w:space="0" w:color="auto"/>
      </w:divBdr>
    </w:div>
    <w:div w:id="1091706481">
      <w:bodyDiv w:val="1"/>
      <w:marLeft w:val="0"/>
      <w:marRight w:val="0"/>
      <w:marTop w:val="0"/>
      <w:marBottom w:val="0"/>
      <w:divBdr>
        <w:top w:val="none" w:sz="0" w:space="0" w:color="auto"/>
        <w:left w:val="none" w:sz="0" w:space="0" w:color="auto"/>
        <w:bottom w:val="none" w:sz="0" w:space="0" w:color="auto"/>
        <w:right w:val="none" w:sz="0" w:space="0" w:color="auto"/>
      </w:divBdr>
    </w:div>
    <w:div w:id="1092818372">
      <w:bodyDiv w:val="1"/>
      <w:marLeft w:val="0"/>
      <w:marRight w:val="0"/>
      <w:marTop w:val="0"/>
      <w:marBottom w:val="0"/>
      <w:divBdr>
        <w:top w:val="none" w:sz="0" w:space="0" w:color="auto"/>
        <w:left w:val="none" w:sz="0" w:space="0" w:color="auto"/>
        <w:bottom w:val="none" w:sz="0" w:space="0" w:color="auto"/>
        <w:right w:val="none" w:sz="0" w:space="0" w:color="auto"/>
      </w:divBdr>
    </w:div>
    <w:div w:id="1101996951">
      <w:bodyDiv w:val="1"/>
      <w:marLeft w:val="0"/>
      <w:marRight w:val="0"/>
      <w:marTop w:val="0"/>
      <w:marBottom w:val="0"/>
      <w:divBdr>
        <w:top w:val="none" w:sz="0" w:space="0" w:color="auto"/>
        <w:left w:val="none" w:sz="0" w:space="0" w:color="auto"/>
        <w:bottom w:val="none" w:sz="0" w:space="0" w:color="auto"/>
        <w:right w:val="none" w:sz="0" w:space="0" w:color="auto"/>
      </w:divBdr>
    </w:div>
    <w:div w:id="1122193312">
      <w:bodyDiv w:val="1"/>
      <w:marLeft w:val="0"/>
      <w:marRight w:val="0"/>
      <w:marTop w:val="0"/>
      <w:marBottom w:val="0"/>
      <w:divBdr>
        <w:top w:val="none" w:sz="0" w:space="0" w:color="auto"/>
        <w:left w:val="none" w:sz="0" w:space="0" w:color="auto"/>
        <w:bottom w:val="none" w:sz="0" w:space="0" w:color="auto"/>
        <w:right w:val="none" w:sz="0" w:space="0" w:color="auto"/>
      </w:divBdr>
    </w:div>
    <w:div w:id="1125386524">
      <w:bodyDiv w:val="1"/>
      <w:marLeft w:val="0"/>
      <w:marRight w:val="0"/>
      <w:marTop w:val="0"/>
      <w:marBottom w:val="0"/>
      <w:divBdr>
        <w:top w:val="none" w:sz="0" w:space="0" w:color="auto"/>
        <w:left w:val="none" w:sz="0" w:space="0" w:color="auto"/>
        <w:bottom w:val="none" w:sz="0" w:space="0" w:color="auto"/>
        <w:right w:val="none" w:sz="0" w:space="0" w:color="auto"/>
      </w:divBdr>
    </w:div>
    <w:div w:id="1129131365">
      <w:bodyDiv w:val="1"/>
      <w:marLeft w:val="0"/>
      <w:marRight w:val="0"/>
      <w:marTop w:val="0"/>
      <w:marBottom w:val="0"/>
      <w:divBdr>
        <w:top w:val="none" w:sz="0" w:space="0" w:color="auto"/>
        <w:left w:val="none" w:sz="0" w:space="0" w:color="auto"/>
        <w:bottom w:val="none" w:sz="0" w:space="0" w:color="auto"/>
        <w:right w:val="none" w:sz="0" w:space="0" w:color="auto"/>
      </w:divBdr>
    </w:div>
    <w:div w:id="1156336514">
      <w:bodyDiv w:val="1"/>
      <w:marLeft w:val="0"/>
      <w:marRight w:val="0"/>
      <w:marTop w:val="0"/>
      <w:marBottom w:val="0"/>
      <w:divBdr>
        <w:top w:val="none" w:sz="0" w:space="0" w:color="auto"/>
        <w:left w:val="none" w:sz="0" w:space="0" w:color="auto"/>
        <w:bottom w:val="none" w:sz="0" w:space="0" w:color="auto"/>
        <w:right w:val="none" w:sz="0" w:space="0" w:color="auto"/>
      </w:divBdr>
      <w:divsChild>
        <w:div w:id="210264746">
          <w:marLeft w:val="360"/>
          <w:marRight w:val="0"/>
          <w:marTop w:val="200"/>
          <w:marBottom w:val="0"/>
          <w:divBdr>
            <w:top w:val="none" w:sz="0" w:space="0" w:color="auto"/>
            <w:left w:val="none" w:sz="0" w:space="0" w:color="auto"/>
            <w:bottom w:val="none" w:sz="0" w:space="0" w:color="auto"/>
            <w:right w:val="none" w:sz="0" w:space="0" w:color="auto"/>
          </w:divBdr>
        </w:div>
        <w:div w:id="721636267">
          <w:marLeft w:val="360"/>
          <w:marRight w:val="0"/>
          <w:marTop w:val="200"/>
          <w:marBottom w:val="0"/>
          <w:divBdr>
            <w:top w:val="none" w:sz="0" w:space="0" w:color="auto"/>
            <w:left w:val="none" w:sz="0" w:space="0" w:color="auto"/>
            <w:bottom w:val="none" w:sz="0" w:space="0" w:color="auto"/>
            <w:right w:val="none" w:sz="0" w:space="0" w:color="auto"/>
          </w:divBdr>
        </w:div>
        <w:div w:id="959337406">
          <w:marLeft w:val="360"/>
          <w:marRight w:val="0"/>
          <w:marTop w:val="200"/>
          <w:marBottom w:val="0"/>
          <w:divBdr>
            <w:top w:val="none" w:sz="0" w:space="0" w:color="auto"/>
            <w:left w:val="none" w:sz="0" w:space="0" w:color="auto"/>
            <w:bottom w:val="none" w:sz="0" w:space="0" w:color="auto"/>
            <w:right w:val="none" w:sz="0" w:space="0" w:color="auto"/>
          </w:divBdr>
        </w:div>
      </w:divsChild>
    </w:div>
    <w:div w:id="1178692616">
      <w:bodyDiv w:val="1"/>
      <w:marLeft w:val="0"/>
      <w:marRight w:val="0"/>
      <w:marTop w:val="0"/>
      <w:marBottom w:val="0"/>
      <w:divBdr>
        <w:top w:val="none" w:sz="0" w:space="0" w:color="auto"/>
        <w:left w:val="none" w:sz="0" w:space="0" w:color="auto"/>
        <w:bottom w:val="none" w:sz="0" w:space="0" w:color="auto"/>
        <w:right w:val="none" w:sz="0" w:space="0" w:color="auto"/>
      </w:divBdr>
    </w:div>
    <w:div w:id="1188254023">
      <w:bodyDiv w:val="1"/>
      <w:marLeft w:val="0"/>
      <w:marRight w:val="0"/>
      <w:marTop w:val="0"/>
      <w:marBottom w:val="0"/>
      <w:divBdr>
        <w:top w:val="none" w:sz="0" w:space="0" w:color="auto"/>
        <w:left w:val="none" w:sz="0" w:space="0" w:color="auto"/>
        <w:bottom w:val="none" w:sz="0" w:space="0" w:color="auto"/>
        <w:right w:val="none" w:sz="0" w:space="0" w:color="auto"/>
      </w:divBdr>
    </w:div>
    <w:div w:id="1207529661">
      <w:bodyDiv w:val="1"/>
      <w:marLeft w:val="0"/>
      <w:marRight w:val="0"/>
      <w:marTop w:val="0"/>
      <w:marBottom w:val="0"/>
      <w:divBdr>
        <w:top w:val="none" w:sz="0" w:space="0" w:color="auto"/>
        <w:left w:val="none" w:sz="0" w:space="0" w:color="auto"/>
        <w:bottom w:val="none" w:sz="0" w:space="0" w:color="auto"/>
        <w:right w:val="none" w:sz="0" w:space="0" w:color="auto"/>
      </w:divBdr>
    </w:div>
    <w:div w:id="1216620910">
      <w:bodyDiv w:val="1"/>
      <w:marLeft w:val="0"/>
      <w:marRight w:val="0"/>
      <w:marTop w:val="0"/>
      <w:marBottom w:val="0"/>
      <w:divBdr>
        <w:top w:val="none" w:sz="0" w:space="0" w:color="auto"/>
        <w:left w:val="none" w:sz="0" w:space="0" w:color="auto"/>
        <w:bottom w:val="none" w:sz="0" w:space="0" w:color="auto"/>
        <w:right w:val="none" w:sz="0" w:space="0" w:color="auto"/>
      </w:divBdr>
    </w:div>
    <w:div w:id="1231111141">
      <w:bodyDiv w:val="1"/>
      <w:marLeft w:val="0"/>
      <w:marRight w:val="0"/>
      <w:marTop w:val="0"/>
      <w:marBottom w:val="0"/>
      <w:divBdr>
        <w:top w:val="none" w:sz="0" w:space="0" w:color="auto"/>
        <w:left w:val="none" w:sz="0" w:space="0" w:color="auto"/>
        <w:bottom w:val="none" w:sz="0" w:space="0" w:color="auto"/>
        <w:right w:val="none" w:sz="0" w:space="0" w:color="auto"/>
      </w:divBdr>
    </w:div>
    <w:div w:id="1269240294">
      <w:bodyDiv w:val="1"/>
      <w:marLeft w:val="0"/>
      <w:marRight w:val="0"/>
      <w:marTop w:val="0"/>
      <w:marBottom w:val="0"/>
      <w:divBdr>
        <w:top w:val="none" w:sz="0" w:space="0" w:color="auto"/>
        <w:left w:val="none" w:sz="0" w:space="0" w:color="auto"/>
        <w:bottom w:val="none" w:sz="0" w:space="0" w:color="auto"/>
        <w:right w:val="none" w:sz="0" w:space="0" w:color="auto"/>
      </w:divBdr>
    </w:div>
    <w:div w:id="1314601152">
      <w:bodyDiv w:val="1"/>
      <w:marLeft w:val="0"/>
      <w:marRight w:val="0"/>
      <w:marTop w:val="0"/>
      <w:marBottom w:val="0"/>
      <w:divBdr>
        <w:top w:val="none" w:sz="0" w:space="0" w:color="auto"/>
        <w:left w:val="none" w:sz="0" w:space="0" w:color="auto"/>
        <w:bottom w:val="none" w:sz="0" w:space="0" w:color="auto"/>
        <w:right w:val="none" w:sz="0" w:space="0" w:color="auto"/>
      </w:divBdr>
      <w:divsChild>
        <w:div w:id="2021462886">
          <w:marLeft w:val="0"/>
          <w:marRight w:val="0"/>
          <w:marTop w:val="0"/>
          <w:marBottom w:val="0"/>
          <w:divBdr>
            <w:top w:val="none" w:sz="0" w:space="0" w:color="auto"/>
            <w:left w:val="none" w:sz="0" w:space="0" w:color="auto"/>
            <w:bottom w:val="none" w:sz="0" w:space="0" w:color="auto"/>
            <w:right w:val="none" w:sz="0" w:space="0" w:color="auto"/>
          </w:divBdr>
          <w:divsChild>
            <w:div w:id="985822406">
              <w:marLeft w:val="0"/>
              <w:marRight w:val="0"/>
              <w:marTop w:val="0"/>
              <w:marBottom w:val="0"/>
              <w:divBdr>
                <w:top w:val="none" w:sz="0" w:space="0" w:color="auto"/>
                <w:left w:val="none" w:sz="0" w:space="0" w:color="auto"/>
                <w:bottom w:val="none" w:sz="0" w:space="0" w:color="auto"/>
                <w:right w:val="none" w:sz="0" w:space="0" w:color="auto"/>
              </w:divBdr>
              <w:divsChild>
                <w:div w:id="144618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77859">
      <w:bodyDiv w:val="1"/>
      <w:marLeft w:val="0"/>
      <w:marRight w:val="0"/>
      <w:marTop w:val="0"/>
      <w:marBottom w:val="0"/>
      <w:divBdr>
        <w:top w:val="none" w:sz="0" w:space="0" w:color="auto"/>
        <w:left w:val="none" w:sz="0" w:space="0" w:color="auto"/>
        <w:bottom w:val="none" w:sz="0" w:space="0" w:color="auto"/>
        <w:right w:val="none" w:sz="0" w:space="0" w:color="auto"/>
      </w:divBdr>
    </w:div>
    <w:div w:id="1346058838">
      <w:bodyDiv w:val="1"/>
      <w:marLeft w:val="0"/>
      <w:marRight w:val="0"/>
      <w:marTop w:val="0"/>
      <w:marBottom w:val="0"/>
      <w:divBdr>
        <w:top w:val="none" w:sz="0" w:space="0" w:color="auto"/>
        <w:left w:val="none" w:sz="0" w:space="0" w:color="auto"/>
        <w:bottom w:val="none" w:sz="0" w:space="0" w:color="auto"/>
        <w:right w:val="none" w:sz="0" w:space="0" w:color="auto"/>
      </w:divBdr>
    </w:div>
    <w:div w:id="1366174347">
      <w:bodyDiv w:val="1"/>
      <w:marLeft w:val="0"/>
      <w:marRight w:val="0"/>
      <w:marTop w:val="0"/>
      <w:marBottom w:val="0"/>
      <w:divBdr>
        <w:top w:val="none" w:sz="0" w:space="0" w:color="auto"/>
        <w:left w:val="none" w:sz="0" w:space="0" w:color="auto"/>
        <w:bottom w:val="none" w:sz="0" w:space="0" w:color="auto"/>
        <w:right w:val="none" w:sz="0" w:space="0" w:color="auto"/>
      </w:divBdr>
    </w:div>
    <w:div w:id="1384257377">
      <w:bodyDiv w:val="1"/>
      <w:marLeft w:val="0"/>
      <w:marRight w:val="0"/>
      <w:marTop w:val="0"/>
      <w:marBottom w:val="0"/>
      <w:divBdr>
        <w:top w:val="none" w:sz="0" w:space="0" w:color="auto"/>
        <w:left w:val="none" w:sz="0" w:space="0" w:color="auto"/>
        <w:bottom w:val="none" w:sz="0" w:space="0" w:color="auto"/>
        <w:right w:val="none" w:sz="0" w:space="0" w:color="auto"/>
      </w:divBdr>
    </w:div>
    <w:div w:id="1419864231">
      <w:bodyDiv w:val="1"/>
      <w:marLeft w:val="0"/>
      <w:marRight w:val="0"/>
      <w:marTop w:val="0"/>
      <w:marBottom w:val="0"/>
      <w:divBdr>
        <w:top w:val="none" w:sz="0" w:space="0" w:color="auto"/>
        <w:left w:val="none" w:sz="0" w:space="0" w:color="auto"/>
        <w:bottom w:val="none" w:sz="0" w:space="0" w:color="auto"/>
        <w:right w:val="none" w:sz="0" w:space="0" w:color="auto"/>
      </w:divBdr>
    </w:div>
    <w:div w:id="1476753844">
      <w:bodyDiv w:val="1"/>
      <w:marLeft w:val="0"/>
      <w:marRight w:val="0"/>
      <w:marTop w:val="0"/>
      <w:marBottom w:val="0"/>
      <w:divBdr>
        <w:top w:val="none" w:sz="0" w:space="0" w:color="auto"/>
        <w:left w:val="none" w:sz="0" w:space="0" w:color="auto"/>
        <w:bottom w:val="none" w:sz="0" w:space="0" w:color="auto"/>
        <w:right w:val="none" w:sz="0" w:space="0" w:color="auto"/>
      </w:divBdr>
    </w:div>
    <w:div w:id="1489710010">
      <w:bodyDiv w:val="1"/>
      <w:marLeft w:val="0"/>
      <w:marRight w:val="0"/>
      <w:marTop w:val="0"/>
      <w:marBottom w:val="0"/>
      <w:divBdr>
        <w:top w:val="none" w:sz="0" w:space="0" w:color="auto"/>
        <w:left w:val="none" w:sz="0" w:space="0" w:color="auto"/>
        <w:bottom w:val="none" w:sz="0" w:space="0" w:color="auto"/>
        <w:right w:val="none" w:sz="0" w:space="0" w:color="auto"/>
      </w:divBdr>
    </w:div>
    <w:div w:id="1534998946">
      <w:bodyDiv w:val="1"/>
      <w:marLeft w:val="0"/>
      <w:marRight w:val="0"/>
      <w:marTop w:val="0"/>
      <w:marBottom w:val="0"/>
      <w:divBdr>
        <w:top w:val="none" w:sz="0" w:space="0" w:color="auto"/>
        <w:left w:val="none" w:sz="0" w:space="0" w:color="auto"/>
        <w:bottom w:val="none" w:sz="0" w:space="0" w:color="auto"/>
        <w:right w:val="none" w:sz="0" w:space="0" w:color="auto"/>
      </w:divBdr>
    </w:div>
    <w:div w:id="1557278857">
      <w:bodyDiv w:val="1"/>
      <w:marLeft w:val="0"/>
      <w:marRight w:val="0"/>
      <w:marTop w:val="0"/>
      <w:marBottom w:val="0"/>
      <w:divBdr>
        <w:top w:val="none" w:sz="0" w:space="0" w:color="auto"/>
        <w:left w:val="none" w:sz="0" w:space="0" w:color="auto"/>
        <w:bottom w:val="none" w:sz="0" w:space="0" w:color="auto"/>
        <w:right w:val="none" w:sz="0" w:space="0" w:color="auto"/>
      </w:divBdr>
    </w:div>
    <w:div w:id="1576623315">
      <w:bodyDiv w:val="1"/>
      <w:marLeft w:val="0"/>
      <w:marRight w:val="0"/>
      <w:marTop w:val="0"/>
      <w:marBottom w:val="0"/>
      <w:divBdr>
        <w:top w:val="none" w:sz="0" w:space="0" w:color="auto"/>
        <w:left w:val="none" w:sz="0" w:space="0" w:color="auto"/>
        <w:bottom w:val="none" w:sz="0" w:space="0" w:color="auto"/>
        <w:right w:val="none" w:sz="0" w:space="0" w:color="auto"/>
      </w:divBdr>
    </w:div>
    <w:div w:id="1579973995">
      <w:bodyDiv w:val="1"/>
      <w:marLeft w:val="0"/>
      <w:marRight w:val="0"/>
      <w:marTop w:val="0"/>
      <w:marBottom w:val="0"/>
      <w:divBdr>
        <w:top w:val="none" w:sz="0" w:space="0" w:color="auto"/>
        <w:left w:val="none" w:sz="0" w:space="0" w:color="auto"/>
        <w:bottom w:val="none" w:sz="0" w:space="0" w:color="auto"/>
        <w:right w:val="none" w:sz="0" w:space="0" w:color="auto"/>
      </w:divBdr>
    </w:div>
    <w:div w:id="1622305307">
      <w:bodyDiv w:val="1"/>
      <w:marLeft w:val="0"/>
      <w:marRight w:val="0"/>
      <w:marTop w:val="0"/>
      <w:marBottom w:val="0"/>
      <w:divBdr>
        <w:top w:val="none" w:sz="0" w:space="0" w:color="auto"/>
        <w:left w:val="none" w:sz="0" w:space="0" w:color="auto"/>
        <w:bottom w:val="none" w:sz="0" w:space="0" w:color="auto"/>
        <w:right w:val="none" w:sz="0" w:space="0" w:color="auto"/>
      </w:divBdr>
    </w:div>
    <w:div w:id="1636064165">
      <w:bodyDiv w:val="1"/>
      <w:marLeft w:val="0"/>
      <w:marRight w:val="0"/>
      <w:marTop w:val="0"/>
      <w:marBottom w:val="0"/>
      <w:divBdr>
        <w:top w:val="none" w:sz="0" w:space="0" w:color="auto"/>
        <w:left w:val="none" w:sz="0" w:space="0" w:color="auto"/>
        <w:bottom w:val="none" w:sz="0" w:space="0" w:color="auto"/>
        <w:right w:val="none" w:sz="0" w:space="0" w:color="auto"/>
      </w:divBdr>
    </w:div>
    <w:div w:id="1673334721">
      <w:bodyDiv w:val="1"/>
      <w:marLeft w:val="0"/>
      <w:marRight w:val="0"/>
      <w:marTop w:val="0"/>
      <w:marBottom w:val="0"/>
      <w:divBdr>
        <w:top w:val="none" w:sz="0" w:space="0" w:color="auto"/>
        <w:left w:val="none" w:sz="0" w:space="0" w:color="auto"/>
        <w:bottom w:val="none" w:sz="0" w:space="0" w:color="auto"/>
        <w:right w:val="none" w:sz="0" w:space="0" w:color="auto"/>
      </w:divBdr>
    </w:div>
    <w:div w:id="1683894595">
      <w:bodyDiv w:val="1"/>
      <w:marLeft w:val="0"/>
      <w:marRight w:val="0"/>
      <w:marTop w:val="0"/>
      <w:marBottom w:val="0"/>
      <w:divBdr>
        <w:top w:val="none" w:sz="0" w:space="0" w:color="auto"/>
        <w:left w:val="none" w:sz="0" w:space="0" w:color="auto"/>
        <w:bottom w:val="none" w:sz="0" w:space="0" w:color="auto"/>
        <w:right w:val="none" w:sz="0" w:space="0" w:color="auto"/>
      </w:divBdr>
    </w:div>
    <w:div w:id="1696075907">
      <w:bodyDiv w:val="1"/>
      <w:marLeft w:val="0"/>
      <w:marRight w:val="0"/>
      <w:marTop w:val="0"/>
      <w:marBottom w:val="0"/>
      <w:divBdr>
        <w:top w:val="none" w:sz="0" w:space="0" w:color="auto"/>
        <w:left w:val="none" w:sz="0" w:space="0" w:color="auto"/>
        <w:bottom w:val="none" w:sz="0" w:space="0" w:color="auto"/>
        <w:right w:val="none" w:sz="0" w:space="0" w:color="auto"/>
      </w:divBdr>
    </w:div>
    <w:div w:id="1701012364">
      <w:bodyDiv w:val="1"/>
      <w:marLeft w:val="0"/>
      <w:marRight w:val="0"/>
      <w:marTop w:val="0"/>
      <w:marBottom w:val="0"/>
      <w:divBdr>
        <w:top w:val="none" w:sz="0" w:space="0" w:color="auto"/>
        <w:left w:val="none" w:sz="0" w:space="0" w:color="auto"/>
        <w:bottom w:val="none" w:sz="0" w:space="0" w:color="auto"/>
        <w:right w:val="none" w:sz="0" w:space="0" w:color="auto"/>
      </w:divBdr>
    </w:div>
    <w:div w:id="1704943852">
      <w:bodyDiv w:val="1"/>
      <w:marLeft w:val="0"/>
      <w:marRight w:val="0"/>
      <w:marTop w:val="0"/>
      <w:marBottom w:val="0"/>
      <w:divBdr>
        <w:top w:val="none" w:sz="0" w:space="0" w:color="auto"/>
        <w:left w:val="none" w:sz="0" w:space="0" w:color="auto"/>
        <w:bottom w:val="none" w:sz="0" w:space="0" w:color="auto"/>
        <w:right w:val="none" w:sz="0" w:space="0" w:color="auto"/>
      </w:divBdr>
    </w:div>
    <w:div w:id="1738554878">
      <w:bodyDiv w:val="1"/>
      <w:marLeft w:val="0"/>
      <w:marRight w:val="0"/>
      <w:marTop w:val="0"/>
      <w:marBottom w:val="0"/>
      <w:divBdr>
        <w:top w:val="none" w:sz="0" w:space="0" w:color="auto"/>
        <w:left w:val="none" w:sz="0" w:space="0" w:color="auto"/>
        <w:bottom w:val="none" w:sz="0" w:space="0" w:color="auto"/>
        <w:right w:val="none" w:sz="0" w:space="0" w:color="auto"/>
      </w:divBdr>
    </w:div>
    <w:div w:id="1753041102">
      <w:bodyDiv w:val="1"/>
      <w:marLeft w:val="0"/>
      <w:marRight w:val="0"/>
      <w:marTop w:val="0"/>
      <w:marBottom w:val="0"/>
      <w:divBdr>
        <w:top w:val="none" w:sz="0" w:space="0" w:color="auto"/>
        <w:left w:val="none" w:sz="0" w:space="0" w:color="auto"/>
        <w:bottom w:val="none" w:sz="0" w:space="0" w:color="auto"/>
        <w:right w:val="none" w:sz="0" w:space="0" w:color="auto"/>
      </w:divBdr>
    </w:div>
    <w:div w:id="1805540668">
      <w:bodyDiv w:val="1"/>
      <w:marLeft w:val="0"/>
      <w:marRight w:val="0"/>
      <w:marTop w:val="0"/>
      <w:marBottom w:val="0"/>
      <w:divBdr>
        <w:top w:val="none" w:sz="0" w:space="0" w:color="auto"/>
        <w:left w:val="none" w:sz="0" w:space="0" w:color="auto"/>
        <w:bottom w:val="none" w:sz="0" w:space="0" w:color="auto"/>
        <w:right w:val="none" w:sz="0" w:space="0" w:color="auto"/>
      </w:divBdr>
      <w:divsChild>
        <w:div w:id="87238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256304">
              <w:marLeft w:val="0"/>
              <w:marRight w:val="0"/>
              <w:marTop w:val="0"/>
              <w:marBottom w:val="0"/>
              <w:divBdr>
                <w:top w:val="none" w:sz="0" w:space="0" w:color="auto"/>
                <w:left w:val="none" w:sz="0" w:space="0" w:color="auto"/>
                <w:bottom w:val="none" w:sz="0" w:space="0" w:color="auto"/>
                <w:right w:val="none" w:sz="0" w:space="0" w:color="auto"/>
              </w:divBdr>
              <w:divsChild>
                <w:div w:id="542133956">
                  <w:marLeft w:val="0"/>
                  <w:marRight w:val="0"/>
                  <w:marTop w:val="0"/>
                  <w:marBottom w:val="0"/>
                  <w:divBdr>
                    <w:top w:val="none" w:sz="0" w:space="0" w:color="auto"/>
                    <w:left w:val="none" w:sz="0" w:space="0" w:color="auto"/>
                    <w:bottom w:val="none" w:sz="0" w:space="0" w:color="auto"/>
                    <w:right w:val="none" w:sz="0" w:space="0" w:color="auto"/>
                  </w:divBdr>
                  <w:divsChild>
                    <w:div w:id="572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745239">
      <w:bodyDiv w:val="1"/>
      <w:marLeft w:val="0"/>
      <w:marRight w:val="0"/>
      <w:marTop w:val="0"/>
      <w:marBottom w:val="0"/>
      <w:divBdr>
        <w:top w:val="none" w:sz="0" w:space="0" w:color="auto"/>
        <w:left w:val="none" w:sz="0" w:space="0" w:color="auto"/>
        <w:bottom w:val="none" w:sz="0" w:space="0" w:color="auto"/>
        <w:right w:val="none" w:sz="0" w:space="0" w:color="auto"/>
      </w:divBdr>
    </w:div>
    <w:div w:id="1817722564">
      <w:bodyDiv w:val="1"/>
      <w:marLeft w:val="0"/>
      <w:marRight w:val="0"/>
      <w:marTop w:val="0"/>
      <w:marBottom w:val="0"/>
      <w:divBdr>
        <w:top w:val="none" w:sz="0" w:space="0" w:color="auto"/>
        <w:left w:val="none" w:sz="0" w:space="0" w:color="auto"/>
        <w:bottom w:val="none" w:sz="0" w:space="0" w:color="auto"/>
        <w:right w:val="none" w:sz="0" w:space="0" w:color="auto"/>
      </w:divBdr>
    </w:div>
    <w:div w:id="1822190899">
      <w:bodyDiv w:val="1"/>
      <w:marLeft w:val="0"/>
      <w:marRight w:val="0"/>
      <w:marTop w:val="0"/>
      <w:marBottom w:val="0"/>
      <w:divBdr>
        <w:top w:val="none" w:sz="0" w:space="0" w:color="auto"/>
        <w:left w:val="none" w:sz="0" w:space="0" w:color="auto"/>
        <w:bottom w:val="none" w:sz="0" w:space="0" w:color="auto"/>
        <w:right w:val="none" w:sz="0" w:space="0" w:color="auto"/>
      </w:divBdr>
    </w:div>
    <w:div w:id="1835300259">
      <w:bodyDiv w:val="1"/>
      <w:marLeft w:val="0"/>
      <w:marRight w:val="0"/>
      <w:marTop w:val="0"/>
      <w:marBottom w:val="0"/>
      <w:divBdr>
        <w:top w:val="none" w:sz="0" w:space="0" w:color="auto"/>
        <w:left w:val="none" w:sz="0" w:space="0" w:color="auto"/>
        <w:bottom w:val="none" w:sz="0" w:space="0" w:color="auto"/>
        <w:right w:val="none" w:sz="0" w:space="0" w:color="auto"/>
      </w:divBdr>
    </w:div>
    <w:div w:id="1855610780">
      <w:bodyDiv w:val="1"/>
      <w:marLeft w:val="0"/>
      <w:marRight w:val="0"/>
      <w:marTop w:val="0"/>
      <w:marBottom w:val="0"/>
      <w:divBdr>
        <w:top w:val="none" w:sz="0" w:space="0" w:color="auto"/>
        <w:left w:val="none" w:sz="0" w:space="0" w:color="auto"/>
        <w:bottom w:val="none" w:sz="0" w:space="0" w:color="auto"/>
        <w:right w:val="none" w:sz="0" w:space="0" w:color="auto"/>
      </w:divBdr>
    </w:div>
    <w:div w:id="1861969125">
      <w:bodyDiv w:val="1"/>
      <w:marLeft w:val="0"/>
      <w:marRight w:val="0"/>
      <w:marTop w:val="0"/>
      <w:marBottom w:val="0"/>
      <w:divBdr>
        <w:top w:val="none" w:sz="0" w:space="0" w:color="auto"/>
        <w:left w:val="none" w:sz="0" w:space="0" w:color="auto"/>
        <w:bottom w:val="none" w:sz="0" w:space="0" w:color="auto"/>
        <w:right w:val="none" w:sz="0" w:space="0" w:color="auto"/>
      </w:divBdr>
    </w:div>
    <w:div w:id="1877547641">
      <w:bodyDiv w:val="1"/>
      <w:marLeft w:val="0"/>
      <w:marRight w:val="0"/>
      <w:marTop w:val="0"/>
      <w:marBottom w:val="0"/>
      <w:divBdr>
        <w:top w:val="none" w:sz="0" w:space="0" w:color="auto"/>
        <w:left w:val="none" w:sz="0" w:space="0" w:color="auto"/>
        <w:bottom w:val="none" w:sz="0" w:space="0" w:color="auto"/>
        <w:right w:val="none" w:sz="0" w:space="0" w:color="auto"/>
      </w:divBdr>
    </w:div>
    <w:div w:id="1883205912">
      <w:bodyDiv w:val="1"/>
      <w:marLeft w:val="0"/>
      <w:marRight w:val="0"/>
      <w:marTop w:val="0"/>
      <w:marBottom w:val="0"/>
      <w:divBdr>
        <w:top w:val="none" w:sz="0" w:space="0" w:color="auto"/>
        <w:left w:val="none" w:sz="0" w:space="0" w:color="auto"/>
        <w:bottom w:val="none" w:sz="0" w:space="0" w:color="auto"/>
        <w:right w:val="none" w:sz="0" w:space="0" w:color="auto"/>
      </w:divBdr>
    </w:div>
    <w:div w:id="1924610206">
      <w:bodyDiv w:val="1"/>
      <w:marLeft w:val="0"/>
      <w:marRight w:val="0"/>
      <w:marTop w:val="0"/>
      <w:marBottom w:val="0"/>
      <w:divBdr>
        <w:top w:val="none" w:sz="0" w:space="0" w:color="auto"/>
        <w:left w:val="none" w:sz="0" w:space="0" w:color="auto"/>
        <w:bottom w:val="none" w:sz="0" w:space="0" w:color="auto"/>
        <w:right w:val="none" w:sz="0" w:space="0" w:color="auto"/>
      </w:divBdr>
    </w:div>
    <w:div w:id="1927884517">
      <w:bodyDiv w:val="1"/>
      <w:marLeft w:val="0"/>
      <w:marRight w:val="0"/>
      <w:marTop w:val="0"/>
      <w:marBottom w:val="0"/>
      <w:divBdr>
        <w:top w:val="none" w:sz="0" w:space="0" w:color="auto"/>
        <w:left w:val="none" w:sz="0" w:space="0" w:color="auto"/>
        <w:bottom w:val="none" w:sz="0" w:space="0" w:color="auto"/>
        <w:right w:val="none" w:sz="0" w:space="0" w:color="auto"/>
      </w:divBdr>
    </w:div>
    <w:div w:id="1989631640">
      <w:bodyDiv w:val="1"/>
      <w:marLeft w:val="0"/>
      <w:marRight w:val="0"/>
      <w:marTop w:val="0"/>
      <w:marBottom w:val="0"/>
      <w:divBdr>
        <w:top w:val="none" w:sz="0" w:space="0" w:color="auto"/>
        <w:left w:val="none" w:sz="0" w:space="0" w:color="auto"/>
        <w:bottom w:val="none" w:sz="0" w:space="0" w:color="auto"/>
        <w:right w:val="none" w:sz="0" w:space="0" w:color="auto"/>
      </w:divBdr>
    </w:div>
    <w:div w:id="1990858846">
      <w:bodyDiv w:val="1"/>
      <w:marLeft w:val="0"/>
      <w:marRight w:val="0"/>
      <w:marTop w:val="0"/>
      <w:marBottom w:val="0"/>
      <w:divBdr>
        <w:top w:val="none" w:sz="0" w:space="0" w:color="auto"/>
        <w:left w:val="none" w:sz="0" w:space="0" w:color="auto"/>
        <w:bottom w:val="none" w:sz="0" w:space="0" w:color="auto"/>
        <w:right w:val="none" w:sz="0" w:space="0" w:color="auto"/>
      </w:divBdr>
    </w:div>
    <w:div w:id="1997493476">
      <w:bodyDiv w:val="1"/>
      <w:marLeft w:val="0"/>
      <w:marRight w:val="0"/>
      <w:marTop w:val="0"/>
      <w:marBottom w:val="0"/>
      <w:divBdr>
        <w:top w:val="none" w:sz="0" w:space="0" w:color="auto"/>
        <w:left w:val="none" w:sz="0" w:space="0" w:color="auto"/>
        <w:bottom w:val="none" w:sz="0" w:space="0" w:color="auto"/>
        <w:right w:val="none" w:sz="0" w:space="0" w:color="auto"/>
      </w:divBdr>
    </w:div>
    <w:div w:id="2011831461">
      <w:bodyDiv w:val="1"/>
      <w:marLeft w:val="0"/>
      <w:marRight w:val="0"/>
      <w:marTop w:val="0"/>
      <w:marBottom w:val="0"/>
      <w:divBdr>
        <w:top w:val="none" w:sz="0" w:space="0" w:color="auto"/>
        <w:left w:val="none" w:sz="0" w:space="0" w:color="auto"/>
        <w:bottom w:val="none" w:sz="0" w:space="0" w:color="auto"/>
        <w:right w:val="none" w:sz="0" w:space="0" w:color="auto"/>
      </w:divBdr>
    </w:div>
    <w:div w:id="2026588483">
      <w:bodyDiv w:val="1"/>
      <w:marLeft w:val="0"/>
      <w:marRight w:val="0"/>
      <w:marTop w:val="0"/>
      <w:marBottom w:val="0"/>
      <w:divBdr>
        <w:top w:val="none" w:sz="0" w:space="0" w:color="auto"/>
        <w:left w:val="none" w:sz="0" w:space="0" w:color="auto"/>
        <w:bottom w:val="none" w:sz="0" w:space="0" w:color="auto"/>
        <w:right w:val="none" w:sz="0" w:space="0" w:color="auto"/>
      </w:divBdr>
    </w:div>
    <w:div w:id="2047171626">
      <w:bodyDiv w:val="1"/>
      <w:marLeft w:val="0"/>
      <w:marRight w:val="0"/>
      <w:marTop w:val="0"/>
      <w:marBottom w:val="0"/>
      <w:divBdr>
        <w:top w:val="none" w:sz="0" w:space="0" w:color="auto"/>
        <w:left w:val="none" w:sz="0" w:space="0" w:color="auto"/>
        <w:bottom w:val="none" w:sz="0" w:space="0" w:color="auto"/>
        <w:right w:val="none" w:sz="0" w:space="0" w:color="auto"/>
      </w:divBdr>
      <w:divsChild>
        <w:div w:id="1944417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183396">
              <w:marLeft w:val="0"/>
              <w:marRight w:val="0"/>
              <w:marTop w:val="0"/>
              <w:marBottom w:val="0"/>
              <w:divBdr>
                <w:top w:val="none" w:sz="0" w:space="0" w:color="auto"/>
                <w:left w:val="none" w:sz="0" w:space="0" w:color="auto"/>
                <w:bottom w:val="none" w:sz="0" w:space="0" w:color="auto"/>
                <w:right w:val="none" w:sz="0" w:space="0" w:color="auto"/>
              </w:divBdr>
              <w:divsChild>
                <w:div w:id="743452007">
                  <w:marLeft w:val="0"/>
                  <w:marRight w:val="0"/>
                  <w:marTop w:val="0"/>
                  <w:marBottom w:val="0"/>
                  <w:divBdr>
                    <w:top w:val="none" w:sz="0" w:space="0" w:color="auto"/>
                    <w:left w:val="none" w:sz="0" w:space="0" w:color="auto"/>
                    <w:bottom w:val="none" w:sz="0" w:space="0" w:color="auto"/>
                    <w:right w:val="none" w:sz="0" w:space="0" w:color="auto"/>
                  </w:divBdr>
                  <w:divsChild>
                    <w:div w:id="100008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633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cid:E2C549BBA526844198A162585E5FBDD7@akfp.or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28" Type="http://schemas.microsoft.com/office/2018/08/relationships/commentsExtensible" Target="commentsExtensible.xml"/><Relationship Id="rId10" Type="http://schemas.openxmlformats.org/officeDocument/2006/relationships/header" Target="header2.xm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6.xml"/><Relationship Id="rId27"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8" Type="http://schemas.openxmlformats.org/officeDocument/2006/relationships/hyperlink" Target="https://www.facebook.com/OPMglobal" TargetMode="External"/><Relationship Id="rId3" Type="http://schemas.openxmlformats.org/officeDocument/2006/relationships/hyperlink" Target="https://www.facebook.com/OPMglobal" TargetMode="External"/><Relationship Id="rId7" Type="http://schemas.openxmlformats.org/officeDocument/2006/relationships/hyperlink" Target="https://twitter.com/OPMglobal" TargetMode="External"/><Relationship Id="rId2" Type="http://schemas.openxmlformats.org/officeDocument/2006/relationships/hyperlink" Target="https://twitter.com/OPMglobal" TargetMode="External"/><Relationship Id="rId1" Type="http://schemas.openxmlformats.org/officeDocument/2006/relationships/hyperlink" Target="http://www.opml.co.uk" TargetMode="External"/><Relationship Id="rId6" Type="http://schemas.openxmlformats.org/officeDocument/2006/relationships/hyperlink" Target="http://www.opml.co.uk" TargetMode="External"/><Relationship Id="rId5" Type="http://schemas.openxmlformats.org/officeDocument/2006/relationships/hyperlink" Target="https://www.linkedin.com/company/opmglobal/" TargetMode="External"/><Relationship Id="rId10" Type="http://schemas.openxmlformats.org/officeDocument/2006/relationships/hyperlink" Target="https://www.linkedin.com/company/opmglobal/" TargetMode="External"/><Relationship Id="rId4" Type="http://schemas.openxmlformats.org/officeDocument/2006/relationships/hyperlink" Target="https://www.youtube.com/c/OPMglobal" TargetMode="External"/><Relationship Id="rId9" Type="http://schemas.openxmlformats.org/officeDocument/2006/relationships/hyperlink" Target="https://www.youtube.com/c/OPMglobal"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asma.sittar\Documents\Social%20Health%20Protection%20Programme\Biannual%20Report%20Jan-June%202020\SHPI%20%20Wider%20-report%20%20for%20June-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sma.sittar\Documents\Social%20Health%20Protection%20Programme\Jul-Dec%202020\Admission%20of%20SHPI%20%20Wider%20July%20to%20Dec-2020.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drabi\AppData\Local\Microsoft\Windows\INetCache\Content.Outlook\2RYMHF6Q\Public%20Sector%20Hospital%20data%202019-2020%20(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dk1">
                    <a:lumMod val="75000"/>
                    <a:lumOff val="25000"/>
                  </a:schemeClr>
                </a:solidFill>
                <a:latin typeface="+mn-lt"/>
                <a:ea typeface="+mn-ea"/>
                <a:cs typeface="+mn-cs"/>
              </a:defRPr>
            </a:pPr>
            <a:r>
              <a:rPr lang="en-GB" sz="1600"/>
              <a:t>Quarterly Trend of Admissions 2018-2020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5.2754430948946718E-2"/>
          <c:y val="0.10070287500504899"/>
          <c:w val="0.87508062693043909"/>
          <c:h val="0.6210808645659891"/>
        </c:manualLayout>
      </c:layout>
      <c:lineChart>
        <c:grouping val="standard"/>
        <c:varyColors val="0"/>
        <c:ser>
          <c:idx val="0"/>
          <c:order val="0"/>
          <c:tx>
            <c:strRef>
              <c:f>'Quarterly admission trends'!$C$3</c:f>
              <c:strCache>
                <c:ptCount val="1"/>
                <c:pt idx="0">
                  <c:v>Eligible</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'Quarterly admission trends'!$B$4:$B$15</c:f>
              <c:strCache>
                <c:ptCount val="12"/>
                <c:pt idx="0">
                  <c:v>Q1(Jan-Mar)</c:v>
                </c:pt>
                <c:pt idx="1">
                  <c:v>Q2(Apr-June)</c:v>
                </c:pt>
                <c:pt idx="2">
                  <c:v>Q3 (Jul-Sep)</c:v>
                </c:pt>
                <c:pt idx="3">
                  <c:v>Q4(Oct-Dec)</c:v>
                </c:pt>
                <c:pt idx="4">
                  <c:v>Q1(Jan-Mar)</c:v>
                </c:pt>
                <c:pt idx="5">
                  <c:v>Q2(Apr-June)</c:v>
                </c:pt>
                <c:pt idx="6">
                  <c:v>Q3 (Jul-Sep)</c:v>
                </c:pt>
                <c:pt idx="7">
                  <c:v>Q4(Oct-Dec)</c:v>
                </c:pt>
                <c:pt idx="8">
                  <c:v>Q1(Jan-Mar)</c:v>
                </c:pt>
                <c:pt idx="9">
                  <c:v>Q2(Apr-June)</c:v>
                </c:pt>
                <c:pt idx="10">
                  <c:v>Q3 (Jul-Sep)</c:v>
                </c:pt>
                <c:pt idx="11">
                  <c:v>Q4(Oct-Dec)</c:v>
                </c:pt>
              </c:strCache>
            </c:strRef>
          </c:cat>
          <c:val>
            <c:numRef>
              <c:f>'Quarterly admission trends'!$C$4:$C$15</c:f>
              <c:numCache>
                <c:formatCode>General</c:formatCode>
                <c:ptCount val="12"/>
                <c:pt idx="0">
                  <c:v>199</c:v>
                </c:pt>
                <c:pt idx="1">
                  <c:v>251</c:v>
                </c:pt>
                <c:pt idx="2">
                  <c:v>243</c:v>
                </c:pt>
                <c:pt idx="3">
                  <c:v>147</c:v>
                </c:pt>
                <c:pt idx="4">
                  <c:v>178</c:v>
                </c:pt>
                <c:pt idx="5">
                  <c:v>216</c:v>
                </c:pt>
                <c:pt idx="6">
                  <c:v>147</c:v>
                </c:pt>
                <c:pt idx="7">
                  <c:v>122</c:v>
                </c:pt>
                <c:pt idx="8">
                  <c:v>115</c:v>
                </c:pt>
                <c:pt idx="9">
                  <c:v>37</c:v>
                </c:pt>
                <c:pt idx="10">
                  <c:v>100</c:v>
                </c:pt>
                <c:pt idx="11">
                  <c:v>89</c:v>
                </c:pt>
              </c:numCache>
            </c:numRef>
          </c:val>
          <c:smooth val="0"/>
          <c:extLst>
            <c:ext xmlns:c16="http://schemas.microsoft.com/office/drawing/2014/chart" uri="{C3380CC4-5D6E-409C-BE32-E72D297353CC}">
              <c16:uniqueId val="{00000000-7134-43CF-A60B-B1FE0E517C45}"/>
            </c:ext>
          </c:extLst>
        </c:ser>
        <c:ser>
          <c:idx val="1"/>
          <c:order val="1"/>
          <c:tx>
            <c:strRef>
              <c:f>'Quarterly admission trends'!$D$3</c:f>
              <c:strCache>
                <c:ptCount val="1"/>
                <c:pt idx="0">
                  <c:v>Wider</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'Quarterly admission trends'!$B$4:$B$15</c:f>
              <c:strCache>
                <c:ptCount val="12"/>
                <c:pt idx="0">
                  <c:v>Q1(Jan-Mar)</c:v>
                </c:pt>
                <c:pt idx="1">
                  <c:v>Q2(Apr-June)</c:v>
                </c:pt>
                <c:pt idx="2">
                  <c:v>Q3 (Jul-Sep)</c:v>
                </c:pt>
                <c:pt idx="3">
                  <c:v>Q4(Oct-Dec)</c:v>
                </c:pt>
                <c:pt idx="4">
                  <c:v>Q1(Jan-Mar)</c:v>
                </c:pt>
                <c:pt idx="5">
                  <c:v>Q2(Apr-June)</c:v>
                </c:pt>
                <c:pt idx="6">
                  <c:v>Q3 (Jul-Sep)</c:v>
                </c:pt>
                <c:pt idx="7">
                  <c:v>Q4(Oct-Dec)</c:v>
                </c:pt>
                <c:pt idx="8">
                  <c:v>Q1(Jan-Mar)</c:v>
                </c:pt>
                <c:pt idx="9">
                  <c:v>Q2(Apr-June)</c:v>
                </c:pt>
                <c:pt idx="10">
                  <c:v>Q3 (Jul-Sep)</c:v>
                </c:pt>
                <c:pt idx="11">
                  <c:v>Q4(Oct-Dec)</c:v>
                </c:pt>
              </c:strCache>
            </c:strRef>
          </c:cat>
          <c:val>
            <c:numRef>
              <c:f>'Quarterly admission trends'!$D$4:$D$15</c:f>
              <c:numCache>
                <c:formatCode>General</c:formatCode>
                <c:ptCount val="12"/>
                <c:pt idx="0">
                  <c:v>128</c:v>
                </c:pt>
                <c:pt idx="1">
                  <c:v>129</c:v>
                </c:pt>
                <c:pt idx="2">
                  <c:v>163</c:v>
                </c:pt>
                <c:pt idx="3">
                  <c:v>249</c:v>
                </c:pt>
                <c:pt idx="4">
                  <c:v>437</c:v>
                </c:pt>
                <c:pt idx="5">
                  <c:v>346</c:v>
                </c:pt>
                <c:pt idx="6">
                  <c:v>464</c:v>
                </c:pt>
                <c:pt idx="7">
                  <c:v>330</c:v>
                </c:pt>
                <c:pt idx="8">
                  <c:v>277</c:v>
                </c:pt>
                <c:pt idx="9">
                  <c:v>143</c:v>
                </c:pt>
                <c:pt idx="10">
                  <c:v>167</c:v>
                </c:pt>
                <c:pt idx="11">
                  <c:v>185</c:v>
                </c:pt>
              </c:numCache>
            </c:numRef>
          </c:val>
          <c:smooth val="0"/>
          <c:extLst>
            <c:ext xmlns:c16="http://schemas.microsoft.com/office/drawing/2014/chart" uri="{C3380CC4-5D6E-409C-BE32-E72D297353CC}">
              <c16:uniqueId val="{00000001-7134-43CF-A60B-B1FE0E517C45}"/>
            </c:ext>
          </c:extLst>
        </c:ser>
        <c:ser>
          <c:idx val="2"/>
          <c:order val="2"/>
          <c:tx>
            <c:strRef>
              <c:f>'Quarterly admission trends'!$E$3</c:f>
              <c:strCache>
                <c:ptCount val="1"/>
                <c:pt idx="0">
                  <c:v>Total</c:v>
                </c:pt>
              </c:strCache>
            </c:strRef>
          </c:tx>
          <c:spPr>
            <a:ln w="31750" cap="rnd">
              <a:solidFill>
                <a:schemeClr val="accent3"/>
              </a:solidFill>
              <a:round/>
            </a:ln>
            <a:effectLst/>
          </c:spPr>
          <c:marker>
            <c:symbol val="circle"/>
            <c:size val="17"/>
            <c:spPr>
              <a:solidFill>
                <a:schemeClr val="accent3"/>
              </a:solidFill>
              <a:ln>
                <a:noFill/>
              </a:ln>
              <a:effectLst/>
            </c:spPr>
          </c:marker>
          <c:dLbls>
            <c:dLbl>
              <c:idx val="9"/>
              <c:layout>
                <c:manualLayout>
                  <c:x val="-2.9030148636130345E-2"/>
                  <c:y val="-2.29684000771934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134-43CF-A60B-B1FE0E517C4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'Quarterly admission trends'!$B$4:$B$15</c:f>
              <c:strCache>
                <c:ptCount val="12"/>
                <c:pt idx="0">
                  <c:v>Q1(Jan-Mar)</c:v>
                </c:pt>
                <c:pt idx="1">
                  <c:v>Q2(Apr-June)</c:v>
                </c:pt>
                <c:pt idx="2">
                  <c:v>Q3 (Jul-Sep)</c:v>
                </c:pt>
                <c:pt idx="3">
                  <c:v>Q4(Oct-Dec)</c:v>
                </c:pt>
                <c:pt idx="4">
                  <c:v>Q1(Jan-Mar)</c:v>
                </c:pt>
                <c:pt idx="5">
                  <c:v>Q2(Apr-June)</c:v>
                </c:pt>
                <c:pt idx="6">
                  <c:v>Q3 (Jul-Sep)</c:v>
                </c:pt>
                <c:pt idx="7">
                  <c:v>Q4(Oct-Dec)</c:v>
                </c:pt>
                <c:pt idx="8">
                  <c:v>Q1(Jan-Mar)</c:v>
                </c:pt>
                <c:pt idx="9">
                  <c:v>Q2(Apr-June)</c:v>
                </c:pt>
                <c:pt idx="10">
                  <c:v>Q3 (Jul-Sep)</c:v>
                </c:pt>
                <c:pt idx="11">
                  <c:v>Q4(Oct-Dec)</c:v>
                </c:pt>
              </c:strCache>
            </c:strRef>
          </c:cat>
          <c:val>
            <c:numRef>
              <c:f>'Quarterly admission trends'!$E$4:$E$15</c:f>
              <c:numCache>
                <c:formatCode>General</c:formatCode>
                <c:ptCount val="12"/>
                <c:pt idx="0">
                  <c:v>327</c:v>
                </c:pt>
                <c:pt idx="1">
                  <c:v>380</c:v>
                </c:pt>
                <c:pt idx="2">
                  <c:v>406</c:v>
                </c:pt>
                <c:pt idx="3">
                  <c:v>396</c:v>
                </c:pt>
                <c:pt idx="4">
                  <c:v>615</c:v>
                </c:pt>
                <c:pt idx="5">
                  <c:v>562</c:v>
                </c:pt>
                <c:pt idx="6">
                  <c:v>611</c:v>
                </c:pt>
                <c:pt idx="7">
                  <c:v>452</c:v>
                </c:pt>
                <c:pt idx="8">
                  <c:v>392</c:v>
                </c:pt>
                <c:pt idx="9">
                  <c:v>180</c:v>
                </c:pt>
                <c:pt idx="10">
                  <c:v>267</c:v>
                </c:pt>
                <c:pt idx="11">
                  <c:v>274</c:v>
                </c:pt>
              </c:numCache>
            </c:numRef>
          </c:val>
          <c:smooth val="0"/>
          <c:extLst>
            <c:ext xmlns:c16="http://schemas.microsoft.com/office/drawing/2014/chart" uri="{C3380CC4-5D6E-409C-BE32-E72D297353CC}">
              <c16:uniqueId val="{00000003-7134-43CF-A60B-B1FE0E517C45}"/>
            </c:ext>
          </c:extLst>
        </c:ser>
        <c:dLbls>
          <c:dLblPos val="ctr"/>
          <c:showLegendKey val="0"/>
          <c:showVal val="1"/>
          <c:showCatName val="0"/>
          <c:showSerName val="0"/>
          <c:showPercent val="0"/>
          <c:showBubbleSize val="0"/>
        </c:dLbls>
        <c:marker val="1"/>
        <c:smooth val="0"/>
        <c:axId val="181191808"/>
        <c:axId val="181193344"/>
      </c:lineChart>
      <c:catAx>
        <c:axId val="18119180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81193344"/>
        <c:crosses val="autoZero"/>
        <c:auto val="1"/>
        <c:lblAlgn val="ctr"/>
        <c:lblOffset val="100"/>
        <c:noMultiLvlLbl val="0"/>
      </c:catAx>
      <c:valAx>
        <c:axId val="18119334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81191808"/>
        <c:crosses val="autoZero"/>
        <c:crossBetween val="between"/>
      </c:valAx>
      <c:spPr>
        <a:noFill/>
        <a:ln w="3175">
          <a:solidFill>
            <a:srgbClr val="4F81BD">
              <a:alpha val="98000"/>
            </a:srgbClr>
          </a:solid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Monthly Admissions</a:t>
            </a:r>
            <a:r>
              <a:rPr lang="en-GB" baseline="0"/>
              <a:t> of Insured Population </a:t>
            </a:r>
          </a:p>
          <a:p>
            <a:pPr>
              <a:defRPr sz="1400" b="0" i="0" u="none" strike="noStrike" kern="1200" spc="0" baseline="0">
                <a:solidFill>
                  <a:schemeClr val="tx1">
                    <a:lumMod val="65000"/>
                    <a:lumOff val="35000"/>
                  </a:schemeClr>
                </a:solidFill>
                <a:latin typeface="+mn-lt"/>
                <a:ea typeface="+mn-ea"/>
                <a:cs typeface="+mn-cs"/>
              </a:defRPr>
            </a:pPr>
            <a:r>
              <a:rPr lang="en-GB" baseline="0"/>
              <a:t>Jan to Dec, 2019 and 2020</a:t>
            </a:r>
            <a:endParaRPr lang="en-GB"/>
          </a:p>
        </c:rich>
      </c:tx>
      <c:overlay val="0"/>
      <c:spPr>
        <a:noFill/>
        <a:ln>
          <a:noFill/>
        </a:ln>
        <a:effectLst/>
      </c:spPr>
    </c:title>
    <c:autoTitleDeleted val="0"/>
    <c:plotArea>
      <c:layout/>
      <c:lineChart>
        <c:grouping val="standard"/>
        <c:varyColors val="0"/>
        <c:ser>
          <c:idx val="0"/>
          <c:order val="0"/>
          <c:tx>
            <c:strRef>
              <c:f>Sheet15!$B$11</c:f>
              <c:strCache>
                <c:ptCount val="1"/>
                <c:pt idx="0">
                  <c:v>2019</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Sheet15!$A$12:$A$23</c:f>
              <c:strCache>
                <c:ptCount val="12"/>
                <c:pt idx="0">
                  <c:v>Jan</c:v>
                </c:pt>
                <c:pt idx="1">
                  <c:v>Feb</c:v>
                </c:pt>
                <c:pt idx="2">
                  <c:v>March</c:v>
                </c:pt>
                <c:pt idx="3">
                  <c:v>April</c:v>
                </c:pt>
                <c:pt idx="4">
                  <c:v>May</c:v>
                </c:pt>
                <c:pt idx="5">
                  <c:v>June</c:v>
                </c:pt>
                <c:pt idx="6">
                  <c:v>Jul</c:v>
                </c:pt>
                <c:pt idx="7">
                  <c:v>Aug</c:v>
                </c:pt>
                <c:pt idx="8">
                  <c:v>Sep</c:v>
                </c:pt>
                <c:pt idx="9">
                  <c:v>Oct</c:v>
                </c:pt>
                <c:pt idx="10">
                  <c:v>Nov </c:v>
                </c:pt>
                <c:pt idx="11">
                  <c:v>Dec</c:v>
                </c:pt>
              </c:strCache>
            </c:strRef>
          </c:cat>
          <c:val>
            <c:numRef>
              <c:f>Sheet15!$B$12:$B$23</c:f>
              <c:numCache>
                <c:formatCode>General</c:formatCode>
                <c:ptCount val="12"/>
                <c:pt idx="0">
                  <c:v>58</c:v>
                </c:pt>
                <c:pt idx="1">
                  <c:v>61</c:v>
                </c:pt>
                <c:pt idx="2">
                  <c:v>54</c:v>
                </c:pt>
                <c:pt idx="3">
                  <c:v>52</c:v>
                </c:pt>
                <c:pt idx="4">
                  <c:v>59</c:v>
                </c:pt>
                <c:pt idx="5">
                  <c:v>56</c:v>
                </c:pt>
                <c:pt idx="6">
                  <c:v>54</c:v>
                </c:pt>
                <c:pt idx="7">
                  <c:v>56</c:v>
                </c:pt>
                <c:pt idx="8">
                  <c:v>52</c:v>
                </c:pt>
                <c:pt idx="9">
                  <c:v>57</c:v>
                </c:pt>
                <c:pt idx="10">
                  <c:v>48</c:v>
                </c:pt>
                <c:pt idx="11">
                  <c:v>56</c:v>
                </c:pt>
              </c:numCache>
            </c:numRef>
          </c:val>
          <c:smooth val="0"/>
          <c:extLst>
            <c:ext xmlns:c16="http://schemas.microsoft.com/office/drawing/2014/chart" uri="{C3380CC4-5D6E-409C-BE32-E72D297353CC}">
              <c16:uniqueId val="{00000000-4C7E-4C99-940A-6D75C47CAF9C}"/>
            </c:ext>
          </c:extLst>
        </c:ser>
        <c:ser>
          <c:idx val="1"/>
          <c:order val="1"/>
          <c:tx>
            <c:strRef>
              <c:f>Sheet15!$C$11</c:f>
              <c:strCache>
                <c:ptCount val="1"/>
                <c:pt idx="0">
                  <c:v>2020</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4.2611111111111134E-2"/>
                  <c:y val="5.32753718285214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C7E-4C99-940A-6D75C47CAF9C}"/>
                </c:ext>
              </c:extLst>
            </c:dLbl>
            <c:dLbl>
              <c:idx val="1"/>
              <c:layout>
                <c:manualLayout>
                  <c:x val="-3.9833333333333346E-2"/>
                  <c:y val="5.32753718285214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C7E-4C99-940A-6D75C47CAF9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Sheet15!$A$12:$A$23</c:f>
              <c:strCache>
                <c:ptCount val="12"/>
                <c:pt idx="0">
                  <c:v>Jan</c:v>
                </c:pt>
                <c:pt idx="1">
                  <c:v>Feb</c:v>
                </c:pt>
                <c:pt idx="2">
                  <c:v>March</c:v>
                </c:pt>
                <c:pt idx="3">
                  <c:v>April</c:v>
                </c:pt>
                <c:pt idx="4">
                  <c:v>May</c:v>
                </c:pt>
                <c:pt idx="5">
                  <c:v>June</c:v>
                </c:pt>
                <c:pt idx="6">
                  <c:v>Jul</c:v>
                </c:pt>
                <c:pt idx="7">
                  <c:v>Aug</c:v>
                </c:pt>
                <c:pt idx="8">
                  <c:v>Sep</c:v>
                </c:pt>
                <c:pt idx="9">
                  <c:v>Oct</c:v>
                </c:pt>
                <c:pt idx="10">
                  <c:v>Nov </c:v>
                </c:pt>
                <c:pt idx="11">
                  <c:v>Dec</c:v>
                </c:pt>
              </c:strCache>
            </c:strRef>
          </c:cat>
          <c:val>
            <c:numRef>
              <c:f>Sheet15!$C$12:$C$23</c:f>
              <c:numCache>
                <c:formatCode>General</c:formatCode>
                <c:ptCount val="12"/>
                <c:pt idx="0">
                  <c:v>33</c:v>
                </c:pt>
                <c:pt idx="1">
                  <c:v>43</c:v>
                </c:pt>
                <c:pt idx="2">
                  <c:v>29</c:v>
                </c:pt>
                <c:pt idx="3">
                  <c:v>8</c:v>
                </c:pt>
                <c:pt idx="4">
                  <c:v>19</c:v>
                </c:pt>
                <c:pt idx="5">
                  <c:v>16</c:v>
                </c:pt>
                <c:pt idx="6">
                  <c:v>40</c:v>
                </c:pt>
                <c:pt idx="7">
                  <c:v>20</c:v>
                </c:pt>
                <c:pt idx="8">
                  <c:v>34</c:v>
                </c:pt>
                <c:pt idx="9">
                  <c:v>37</c:v>
                </c:pt>
                <c:pt idx="10">
                  <c:v>25</c:v>
                </c:pt>
                <c:pt idx="11">
                  <c:v>37</c:v>
                </c:pt>
              </c:numCache>
            </c:numRef>
          </c:val>
          <c:smooth val="0"/>
          <c:extLst>
            <c:ext xmlns:c16="http://schemas.microsoft.com/office/drawing/2014/chart" uri="{C3380CC4-5D6E-409C-BE32-E72D297353CC}">
              <c16:uniqueId val="{00000003-4C7E-4C99-940A-6D75C47CAF9C}"/>
            </c:ext>
          </c:extLst>
        </c:ser>
        <c:dLbls>
          <c:showLegendKey val="0"/>
          <c:showVal val="1"/>
          <c:showCatName val="0"/>
          <c:showSerName val="0"/>
          <c:showPercent val="0"/>
          <c:showBubbleSize val="0"/>
        </c:dLbls>
        <c:marker val="1"/>
        <c:smooth val="0"/>
        <c:axId val="483205432"/>
        <c:axId val="483206216"/>
      </c:lineChart>
      <c:catAx>
        <c:axId val="483205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3206216"/>
        <c:crosses val="autoZero"/>
        <c:auto val="1"/>
        <c:lblAlgn val="ctr"/>
        <c:lblOffset val="100"/>
        <c:noMultiLvlLbl val="0"/>
      </c:catAx>
      <c:valAx>
        <c:axId val="483206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3205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Monthly Admission in Public Hospitals in Gilgit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'[Public Sector Hospital data 2019-2020 (2).xlsx]Sheet1'!$B$31</c:f>
              <c:strCache>
                <c:ptCount val="1"/>
                <c:pt idx="0">
                  <c:v>2019</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206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'[Public Sector Hospital data 2019-2020 (2).xlsx]Sheet1'!$C$30:$N$30</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'[Public Sector Hospital data 2019-2020 (2).xlsx]Sheet1'!$C$31:$N$31</c:f>
              <c:numCache>
                <c:formatCode>General</c:formatCode>
                <c:ptCount val="12"/>
                <c:pt idx="0">
                  <c:v>8516</c:v>
                </c:pt>
                <c:pt idx="1">
                  <c:v>8426</c:v>
                </c:pt>
                <c:pt idx="2">
                  <c:v>8619</c:v>
                </c:pt>
                <c:pt idx="3">
                  <c:v>9179</c:v>
                </c:pt>
                <c:pt idx="4">
                  <c:v>8989</c:v>
                </c:pt>
                <c:pt idx="5">
                  <c:v>9333</c:v>
                </c:pt>
                <c:pt idx="6">
                  <c:v>9544</c:v>
                </c:pt>
                <c:pt idx="7">
                  <c:v>7794</c:v>
                </c:pt>
                <c:pt idx="8">
                  <c:v>4906</c:v>
                </c:pt>
                <c:pt idx="9">
                  <c:v>8121</c:v>
                </c:pt>
                <c:pt idx="10">
                  <c:v>7594</c:v>
                </c:pt>
                <c:pt idx="11">
                  <c:v>6675</c:v>
                </c:pt>
              </c:numCache>
            </c:numRef>
          </c:val>
          <c:smooth val="0"/>
          <c:extLst>
            <c:ext xmlns:c16="http://schemas.microsoft.com/office/drawing/2014/chart" uri="{C3380CC4-5D6E-409C-BE32-E72D297353CC}">
              <c16:uniqueId val="{00000000-60AD-4DF8-8B77-599A047CEE6E}"/>
            </c:ext>
          </c:extLst>
        </c:ser>
        <c:ser>
          <c:idx val="1"/>
          <c:order val="1"/>
          <c:tx>
            <c:strRef>
              <c:f>'[Public Sector Hospital data 2019-2020 (2).xlsx]Sheet1'!$B$32</c:f>
              <c:strCache>
                <c:ptCount val="1"/>
                <c:pt idx="0">
                  <c:v>2020</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50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'[Public Sector Hospital data 2019-2020 (2).xlsx]Sheet1'!$C$30:$N$30</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'[Public Sector Hospital data 2019-2020 (2).xlsx]Sheet1'!$C$32:$N$32</c:f>
              <c:numCache>
                <c:formatCode>General</c:formatCode>
                <c:ptCount val="12"/>
                <c:pt idx="0">
                  <c:v>7300</c:v>
                </c:pt>
                <c:pt idx="1">
                  <c:v>6677</c:v>
                </c:pt>
                <c:pt idx="2">
                  <c:v>5701</c:v>
                </c:pt>
                <c:pt idx="3">
                  <c:v>2395</c:v>
                </c:pt>
                <c:pt idx="4">
                  <c:v>2758</c:v>
                </c:pt>
                <c:pt idx="5">
                  <c:v>3579</c:v>
                </c:pt>
                <c:pt idx="6">
                  <c:v>6769</c:v>
                </c:pt>
                <c:pt idx="7">
                  <c:v>5557</c:v>
                </c:pt>
                <c:pt idx="8">
                  <c:v>5532</c:v>
                </c:pt>
                <c:pt idx="9">
                  <c:v>6616</c:v>
                </c:pt>
                <c:pt idx="10">
                  <c:v>5351</c:v>
                </c:pt>
                <c:pt idx="11">
                  <c:v>6091</c:v>
                </c:pt>
              </c:numCache>
            </c:numRef>
          </c:val>
          <c:smooth val="0"/>
          <c:extLst>
            <c:ext xmlns:c16="http://schemas.microsoft.com/office/drawing/2014/chart" uri="{C3380CC4-5D6E-409C-BE32-E72D297353CC}">
              <c16:uniqueId val="{00000001-60AD-4DF8-8B77-599A047CEE6E}"/>
            </c:ext>
          </c:extLst>
        </c:ser>
        <c:dLbls>
          <c:dLblPos val="t"/>
          <c:showLegendKey val="0"/>
          <c:showVal val="1"/>
          <c:showCatName val="0"/>
          <c:showSerName val="0"/>
          <c:showPercent val="0"/>
          <c:showBubbleSize val="0"/>
        </c:dLbls>
        <c:marker val="1"/>
        <c:smooth val="0"/>
        <c:axId val="1603000624"/>
        <c:axId val="1603001040"/>
      </c:lineChart>
      <c:catAx>
        <c:axId val="1603000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3001040"/>
        <c:crosses val="autoZero"/>
        <c:auto val="1"/>
        <c:lblAlgn val="ctr"/>
        <c:lblOffset val="100"/>
        <c:noMultiLvlLbl val="0"/>
      </c:catAx>
      <c:valAx>
        <c:axId val="1603001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3000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PM_Arial">
  <a:themeElements>
    <a:clrScheme name="Custom 7">
      <a:dk1>
        <a:srgbClr val="000000"/>
      </a:dk1>
      <a:lt1>
        <a:srgbClr val="FFFFFF"/>
      </a:lt1>
      <a:dk2>
        <a:srgbClr val="0A1F50"/>
      </a:dk2>
      <a:lt2>
        <a:srgbClr val="DAE4EC"/>
      </a:lt2>
      <a:accent1>
        <a:srgbClr val="45A7E1"/>
      </a:accent1>
      <a:accent2>
        <a:srgbClr val="F04F48"/>
      </a:accent2>
      <a:accent3>
        <a:srgbClr val="4CD99D"/>
      </a:accent3>
      <a:accent4>
        <a:srgbClr val="FF7025"/>
      </a:accent4>
      <a:accent5>
        <a:srgbClr val="9187E9"/>
      </a:accent5>
      <a:accent6>
        <a:srgbClr val="FFCF0E"/>
      </a:accent6>
      <a:hlink>
        <a:srgbClr val="45A7E1"/>
      </a:hlink>
      <a:folHlink>
        <a:srgbClr val="45A7E1"/>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PM_Arial" id="{CD3B5AD6-1E9E-DE45-B6B9-4D05FC61B8FD}" vid="{5410EA13-B33E-A44F-860F-BBD43813C53C}"/>
    </a:ext>
  </a:extLst>
</a:theme>
</file>

<file path=word/theme/themeOverride1.xml><?xml version="1.0" encoding="utf-8"?>
<a:themeOverride xmlns:a="http://schemas.openxmlformats.org/drawingml/2006/main">
  <a:clrScheme name="Custom 7">
    <a:dk1>
      <a:srgbClr val="000000"/>
    </a:dk1>
    <a:lt1>
      <a:srgbClr val="FFFFFF"/>
    </a:lt1>
    <a:dk2>
      <a:srgbClr val="0A1F50"/>
    </a:dk2>
    <a:lt2>
      <a:srgbClr val="DAE4EC"/>
    </a:lt2>
    <a:accent1>
      <a:srgbClr val="45A7E1"/>
    </a:accent1>
    <a:accent2>
      <a:srgbClr val="F04F48"/>
    </a:accent2>
    <a:accent3>
      <a:srgbClr val="4CD99D"/>
    </a:accent3>
    <a:accent4>
      <a:srgbClr val="FF7025"/>
    </a:accent4>
    <a:accent5>
      <a:srgbClr val="9187E9"/>
    </a:accent5>
    <a:accent6>
      <a:srgbClr val="FFCF0E"/>
    </a:accent6>
    <a:hlink>
      <a:srgbClr val="45A7E1"/>
    </a:hlink>
    <a:folHlink>
      <a:srgbClr val="45A7E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154892B-362C-4A59-89C7-BDF550566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2810</TotalTime>
  <Pages>32</Pages>
  <Words>8124</Words>
  <Characters>46311</Characters>
  <Application>Microsoft Office Word</Application>
  <DocSecurity>0</DocSecurity>
  <Lines>385</Lines>
  <Paragraphs>108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KfW Bankengruppe</Company>
  <LinksUpToDate>false</LinksUpToDate>
  <CharactersWithSpaces>54327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Romano</dc:creator>
  <cp:keywords/>
  <dc:description/>
  <cp:lastModifiedBy>Abid Hussain</cp:lastModifiedBy>
  <cp:revision>18</cp:revision>
  <cp:lastPrinted>2019-03-25T08:42:00Z</cp:lastPrinted>
  <dcterms:created xsi:type="dcterms:W3CDTF">2021-02-02T10:25:00Z</dcterms:created>
  <dcterms:modified xsi:type="dcterms:W3CDTF">2021-02-10T05:00:00Z</dcterms:modified>
</cp:coreProperties>
</file>